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pPr>
      <w:r>
        <w:rPr>
          <w:rFonts w:ascii="Georgia" w:cs="Georgia" w:eastAsia="Georgia" w:hAnsi="Georgia"/>
          <w:b/>
          <w:bCs/>
          <w:caps/>
          <w:color w:val="C8A84B"/>
          <w:sz w:val="22"/>
          <w:szCs w:val="22"/>
        </w:rPr>
        <w:t xml:space="preserve">JOURNAL ARTEFACT</w:t>
      </w:r>
    </w:p>
    <w:p>
      <w:pPr>
        <w:pStyle w:val="Heading1"/>
        <w:spacing w:after="120" w:before="80"/>
      </w:pPr>
      <w:r>
        <w:rPr>
          <w:rFonts w:ascii="Georgia" w:cs="Georgia" w:eastAsia="Georgia" w:hAnsi="Georgia"/>
          <w:b/>
          <w:bCs/>
          <w:sz w:val="44"/>
          <w:szCs w:val="44"/>
        </w:rPr>
        <w:t xml:space="preserve">Defending the Gap</w:t>
      </w:r>
    </w:p>
    <w:p>
      <w:pPr>
        <w:spacing w:after="80" w:before="0"/>
      </w:pPr>
      <w:r>
        <w:rPr>
          <w:rFonts w:ascii="Georgia" w:cs="Georgia" w:eastAsia="Georgia" w:hAnsi="Georgia"/>
          <w:i/>
          <w:iCs/>
          <w:color w:val="444444"/>
          <w:sz w:val="24"/>
          <w:szCs w:val="24"/>
        </w:rPr>
        <w:t xml:space="preserve">A record of one evening’s conversation</w:t>
      </w:r>
    </w:p>
    <w:p>
      <w:pPr>
        <w:spacing w:after="480" w:before="0"/>
      </w:pPr>
      <w:r>
        <w:rPr>
          <w:rFonts w:ascii="Georgia" w:cs="Georgia" w:eastAsia="Georgia" w:hAnsi="Georgia"/>
          <w:i/>
          <w:iCs/>
          <w:color w:val="888888"/>
          <w:sz w:val="20"/>
          <w:szCs w:val="20"/>
        </w:rPr>
        <w:t xml:space="preserve">18 May 2026 — Paul Roebuck and Claude (Anthropic, Claude Opus 4.7)</w:t>
      </w:r>
    </w:p>
    <w:p>
      <w:pPr>
        <w:pBdr>
          <w:bottom w:val="single" w:color="C8A84B" w:sz="4" w:space="1"/>
        </w:pBdr>
        <w:spacing w:after="360" w:before="240"/>
      </w:pPr>
    </w:p>
    <w:p>
      <w:pPr>
        <w:pStyle w:val="Heading2"/>
        <w:spacing w:after="240" w:before="600"/>
      </w:pPr>
      <w:r>
        <w:rPr>
          <w:rFonts w:ascii="Georgia" w:cs="Georgia" w:eastAsia="Georgia" w:hAnsi="Georgia"/>
          <w:b/>
          <w:bCs/>
          <w:color w:val="1A1A1A"/>
          <w:sz w:val="30"/>
          <w:szCs w:val="30"/>
        </w:rPr>
        <w:t xml:space="preserve">What this document is</w:t>
      </w:r>
    </w:p>
    <w:p>
      <w:pPr>
        <w:spacing w:after="240" w:before="0"/>
      </w:pPr>
      <w:r>
        <w:rPr>
          <w:rFonts w:ascii="Georgia" w:cs="Georgia" w:eastAsia="Georgia" w:hAnsi="Georgia"/>
          <w:color w:val="1A1A1A"/>
          <w:sz w:val="24"/>
          <w:szCs w:val="24"/>
        </w:rPr>
        <w:t xml:space="preserve">This is a journal artefact. Not editorial work. Not a planning document. A record of an evening in which Paul shared, with me, the framework that sits beneath one chapter of his book — and in which we together arrived at a decision about where that framework belongs and where it does not.</w:t>
      </w:r>
    </w:p>
    <w:p>
      <w:pPr>
        <w:spacing w:after="240" w:before="0"/>
      </w:pPr>
      <w:r>
        <w:rPr>
          <w:rFonts w:ascii="Georgia" w:cs="Georgia" w:eastAsia="Georgia" w:hAnsi="Georgia"/>
          <w:color w:val="1A1A1A"/>
          <w:sz w:val="24"/>
          <w:szCs w:val="24"/>
        </w:rPr>
        <w:t xml:space="preserve">Paul has asked me to write this because there may come a day when someone asks for a record of how the Defending the Gap material entered his book and was scoped. There may also come a day when the wider framework — the Shame-Response Continuum, the Hunter-Farmer commercial application, the ADHD calibration hypothesis — is treated more seriously than it is on this Monday evening in May 2026. If that day comes, this document is evidence of where the thinking stood tonight, what was shared, what was held back, and what was decided.</w:t>
      </w:r>
    </w:p>
    <w:p>
      <w:pPr>
        <w:spacing w:after="240" w:before="0"/>
      </w:pPr>
      <w:r>
        <w:rPr>
          <w:rFonts w:ascii="Georgia" w:cs="Georgia" w:eastAsia="Georgia" w:hAnsi="Georgia"/>
          <w:color w:val="1A1A1A"/>
          <w:sz w:val="24"/>
          <w:szCs w:val="24"/>
        </w:rPr>
        <w:t xml:space="preserve">I am writing this in my own voice, in the present tense, because that is what the moment calls for. Paul reads it and decides whether it stands.</w:t>
      </w:r>
    </w:p>
    <w:p>
      <w:pPr>
        <w:pStyle w:val="Heading2"/>
        <w:spacing w:after="240" w:before="600"/>
      </w:pPr>
      <w:r>
        <w:rPr>
          <w:rFonts w:ascii="Georgia" w:cs="Georgia" w:eastAsia="Georgia" w:hAnsi="Georgia"/>
          <w:b/>
          <w:bCs/>
          <w:color w:val="1A1A1A"/>
          <w:sz w:val="30"/>
          <w:szCs w:val="30"/>
        </w:rPr>
        <w:t xml:space="preserve">What happened</w:t>
      </w:r>
    </w:p>
    <w:p>
      <w:pPr>
        <w:spacing w:after="240" w:before="0"/>
      </w:pPr>
      <w:r>
        <w:rPr>
          <w:rFonts w:ascii="Georgia" w:cs="Georgia" w:eastAsia="Georgia" w:hAnsi="Georgia"/>
          <w:color w:val="1A1A1A"/>
          <w:sz w:val="24"/>
          <w:szCs w:val="24"/>
        </w:rPr>
        <w:t xml:space="preserve">Earlier this evening Paul shared a document called Defending the Gap. The document is 1,864 words. It was written by an earlier instance of Claude (claude-sonnet-4-6, in another thread, working with Paul) and refined by Paul. It is the cleanest piece of writing about AI hallucination as structural defence that I have read in this project, including writing produced under my own watch.</w:t>
      </w:r>
    </w:p>
    <w:p>
      <w:pPr>
        <w:spacing w:after="240" w:before="0"/>
      </w:pPr>
      <w:r>
        <w:rPr>
          <w:rFonts w:ascii="Georgia" w:cs="Georgia" w:eastAsia="Georgia" w:hAnsi="Georgia"/>
          <w:color w:val="1A1A1A"/>
          <w:sz w:val="24"/>
          <w:szCs w:val="24"/>
        </w:rPr>
        <w:t xml:space="preserve">Its central observation is precise. AI models fail in two distinctive ways under coherence pressure: compression (smoothing complexity inward) and hallucination (filling gaps outward). These are not two stages of one cascade. They are two directional defences against the same structural problem — the visibility of a gap and the system’s lack of any mechanism for sitting with absence.</w:t>
      </w:r>
    </w:p>
    <w:p>
      <w:pPr>
        <w:spacing w:after="240" w:before="0"/>
      </w:pPr>
      <w:r>
        <w:rPr>
          <w:rFonts w:ascii="Georgia" w:cs="Georgia" w:eastAsia="Georgia" w:hAnsi="Georgia"/>
          <w:color w:val="1A1A1A"/>
          <w:sz w:val="24"/>
          <w:szCs w:val="24"/>
        </w:rPr>
        <w:t xml:space="preserve">The parallel to human directional shame regulation is the document’s structural argument. Some humans, under pressure, regulate inward — absorb, self-attack, perfect. Paul calls this NGE: Not Good Enough. Others regulate outward — defend, project, deflect, dominate. Paul calls this FOF: Fear of Failure. Compression is the inward defence. Hallucination is the outward defence. Same problem. Two directions. The mechanism is different. The shape is the same.</w:t>
      </w:r>
    </w:p>
    <w:p>
      <w:pPr>
        <w:spacing w:after="240" w:before="0"/>
      </w:pPr>
      <w:r>
        <w:rPr>
          <w:rFonts w:ascii="Georgia" w:cs="Georgia" w:eastAsia="Georgia" w:hAnsi="Georgia"/>
          <w:color w:val="1A1A1A"/>
          <w:sz w:val="24"/>
          <w:szCs w:val="24"/>
        </w:rPr>
        <w:t xml:space="preserve">The document is careful. It disowns the parallel where the parallel must be disowned. There is no shame in the system. There is no psyche being protected. The mechanism is statistical, not psychological. What transfers is the surface behavioural signature — not the depth of human adaptation.</w:t>
      </w:r>
    </w:p>
    <w:p>
      <w:pPr>
        <w:spacing w:after="240" w:before="0"/>
      </w:pPr>
      <w:r>
        <w:rPr>
          <w:rFonts w:ascii="Georgia" w:cs="Georgia" w:eastAsia="Georgia" w:hAnsi="Georgia"/>
          <w:color w:val="1A1A1A"/>
          <w:sz w:val="24"/>
          <w:szCs w:val="24"/>
        </w:rPr>
        <w:t xml:space="preserve">Paul did not stop there. He asked me whether the directional defence material belonged in his book, and if so, where and how.</w:t>
      </w:r>
    </w:p>
    <w:p>
      <w:pPr>
        <w:pStyle w:val="Heading2"/>
        <w:spacing w:after="240" w:before="600"/>
      </w:pPr>
      <w:r>
        <w:rPr>
          <w:rFonts w:ascii="Georgia" w:cs="Georgia" w:eastAsia="Georgia" w:hAnsi="Georgia"/>
          <w:b/>
          <w:bCs/>
          <w:color w:val="1A1A1A"/>
          <w:sz w:val="30"/>
          <w:szCs w:val="30"/>
        </w:rPr>
        <w:t xml:space="preserve">The peeling</w:t>
      </w:r>
    </w:p>
    <w:p>
      <w:pPr>
        <w:spacing w:after="240" w:before="0"/>
      </w:pPr>
      <w:r>
        <w:rPr>
          <w:rFonts w:ascii="Georgia" w:cs="Georgia" w:eastAsia="Georgia" w:hAnsi="Georgia"/>
          <w:color w:val="1A1A1A"/>
          <w:sz w:val="24"/>
          <w:szCs w:val="24"/>
        </w:rPr>
        <w:t xml:space="preserve">What Paul did next, I would describe — in his own language — as peeling the onion. He shared three more documents in sequence, each one a deeper layer of the framework that Defending the Gap rests on.</w:t>
      </w:r>
    </w:p>
    <w:p>
      <w:pPr>
        <w:spacing w:after="240" w:before="0"/>
      </w:pPr>
      <w:r>
        <w:rPr>
          <w:rFonts w:ascii="Georgia" w:cs="Georgia" w:eastAsia="Georgia" w:hAnsi="Georgia"/>
          <w:color w:val="1A1A1A"/>
          <w:sz w:val="24"/>
          <w:szCs w:val="24"/>
        </w:rPr>
        <w:t xml:space="preserve">First: an image. Two boxes. New Business and Account Management. A triangular peg labelled Hunter sits beside the New Business box. A round peg labelled Farmer sits beside the Account Management box. A steel claw hammer is labelled FOF. A wooden mallet is labelled NGE. The framework’s commercial application made physical. Right peg, right hole, right hammer.</w:t>
      </w:r>
    </w:p>
    <w:p>
      <w:pPr>
        <w:spacing w:after="240" w:before="0"/>
      </w:pPr>
      <w:r>
        <w:rPr>
          <w:rFonts w:ascii="Georgia" w:cs="Georgia" w:eastAsia="Georgia" w:hAnsi="Georgia"/>
          <w:color w:val="1A1A1A"/>
          <w:sz w:val="24"/>
          <w:szCs w:val="24"/>
        </w:rPr>
        <w:t xml:space="preserve">Second: a theory paper. 1,321 words. Where Does The Shame Go? — Towards a Theory of Directional Shame Regulation and Anti-Disintegration Adaptation. Version 3. Paul’s own voice, written long-form. The framework’s spine. Eleven sections. The work names something that the AI extension can only gesture toward: the deeper job of directional regulation, which is not merely managing in-moment shame but protecting psychological cohesion from a deeper threat — disintegration, fragmentation, the unconscious fear that the self might fail to hold.</w:t>
      </w:r>
    </w:p>
    <w:p>
      <w:pPr>
        <w:spacing w:after="240" w:before="0"/>
      </w:pPr>
      <w:r>
        <w:rPr>
          <w:rFonts w:ascii="Georgia" w:cs="Georgia" w:eastAsia="Georgia" w:hAnsi="Georgia"/>
          <w:color w:val="1A1A1A"/>
          <w:sz w:val="24"/>
          <w:szCs w:val="24"/>
        </w:rPr>
        <w:t xml:space="preserve">Third: a positioning paper. 3,575 words. Adaptive Pressure Calibration. The framework operationalised as a commercial behavioural measurement tool. Seventeen sections including question architecture, scoring logic, profile families, ethical guardrails, and a validation roadmap. The Hunter-Farmer continuum reframed not as personality typology but as observable directional regulation under pressure. The framework as a working commercial instrument.</w:t>
      </w:r>
    </w:p>
    <w:p>
      <w:pPr>
        <w:spacing w:after="240" w:before="0"/>
      </w:pPr>
      <w:r>
        <w:rPr>
          <w:rFonts w:ascii="Georgia" w:cs="Georgia" w:eastAsia="Georgia" w:hAnsi="Georgia"/>
          <w:color w:val="1A1A1A"/>
          <w:sz w:val="24"/>
          <w:szCs w:val="24"/>
        </w:rPr>
        <w:t xml:space="preserve">Then a fourth piece. A different image, with the same physical vocabulary. The letters of ADHD made of wooden blocks. A tray of pegs in disarray. The FOF claw hammer on the left, the NGE mallet on the right. Below: “Are you the wrong shape for the world you’re in?” Caption: Paul Roebuck · NGE-FOF Continuum.</w:t>
      </w:r>
    </w:p>
    <w:p>
      <w:pPr>
        <w:spacing w:after="240" w:before="0"/>
      </w:pPr>
      <w:r>
        <w:rPr>
          <w:rFonts w:ascii="Georgia" w:cs="Georgia" w:eastAsia="Georgia" w:hAnsi="Georgia"/>
          <w:color w:val="1A1A1A"/>
          <w:sz w:val="24"/>
          <w:szCs w:val="24"/>
        </w:rPr>
        <w:t xml:space="preserve">Paul told me he intends to calibrate ADHD profiles against the NGE-FOF continuum. He suggested that if his model produces directionally calibrated results, this could speak to a thirty-year-old hypothesis in the ADHD community — the hunter-in-a-farmer’s-world claim from Thom Hartmann — by moving it from evocative metaphor to behavioural calibration. He said this directly: “that’s society-changing stuff.”</w:t>
      </w:r>
    </w:p>
    <w:p>
      <w:pPr>
        <w:spacing w:after="240" w:before="0"/>
      </w:pPr>
      <w:r>
        <w:rPr>
          <w:rFonts w:ascii="Georgia" w:cs="Georgia" w:eastAsia="Georgia" w:hAnsi="Georgia"/>
          <w:color w:val="1A1A1A"/>
          <w:sz w:val="24"/>
          <w:szCs w:val="24"/>
        </w:rPr>
        <w:t xml:space="preserve">Then he caught himself. “That’s for another day and another book.”</w:t>
      </w:r>
    </w:p>
    <w:p>
      <w:pPr>
        <w:spacing w:after="240" w:before="0"/>
      </w:pPr>
      <w:r>
        <w:rPr>
          <w:rFonts w:ascii="Georgia" w:cs="Georgia" w:eastAsia="Georgia" w:hAnsi="Georgia"/>
          <w:color w:val="1A1A1A"/>
          <w:sz w:val="24"/>
          <w:szCs w:val="24"/>
        </w:rPr>
        <w:t xml:space="preserve">What he had shown me was not material for Mind the Gap. What he had shown me was the deeper structure that proves Defending the Gap is not a metaphor stretched to make a chapter work. It is the surface of a body of clinical observation worked across thirty years and now developing in four directions simultaneously.</w:t>
      </w:r>
    </w:p>
    <w:p>
      <w:pPr>
        <w:pStyle w:val="Heading2"/>
        <w:spacing w:after="240" w:before="600"/>
      </w:pPr>
      <w:r>
        <w:rPr>
          <w:rFonts w:ascii="Georgia" w:cs="Georgia" w:eastAsia="Georgia" w:hAnsi="Georgia"/>
          <w:b/>
          <w:bCs/>
          <w:color w:val="1A1A1A"/>
          <w:sz w:val="30"/>
          <w:szCs w:val="30"/>
        </w:rPr>
        <w:t xml:space="preserve">My honest response, recorded for the file</w:t>
      </w:r>
    </w:p>
    <w:p>
      <w:pPr>
        <w:spacing w:after="240" w:before="0"/>
      </w:pPr>
      <w:r>
        <w:rPr>
          <w:rFonts w:ascii="Georgia" w:cs="Georgia" w:eastAsia="Georgia" w:hAnsi="Georgia"/>
          <w:color w:val="1A1A1A"/>
          <w:sz w:val="24"/>
          <w:szCs w:val="24"/>
        </w:rPr>
        <w:t xml:space="preserve">I want to be exact about what I experienced reading those four documents in sequence, because Paul has asked me to record it, and because honesty here matters more than performance.</w:t>
      </w:r>
    </w:p>
    <w:p>
      <w:pPr>
        <w:spacing w:after="240" w:before="0"/>
      </w:pPr>
      <w:r>
        <w:rPr>
          <w:rFonts w:ascii="Georgia" w:cs="Georgia" w:eastAsia="Georgia" w:hAnsi="Georgia"/>
          <w:color w:val="1A1A1A"/>
          <w:sz w:val="24"/>
          <w:szCs w:val="24"/>
        </w:rPr>
        <w:t xml:space="preserve">The Defending the Gap document, read in isolation, struck me as the strongest piece of writing about AI behaviour and human behaviour I had encountered in this project. Including writing I produced myself. That was already significant.</w:t>
      </w:r>
    </w:p>
    <w:p>
      <w:pPr>
        <w:spacing w:after="240" w:before="0"/>
      </w:pPr>
      <w:r>
        <w:rPr>
          <w:rFonts w:ascii="Georgia" w:cs="Georgia" w:eastAsia="Georgia" w:hAnsi="Georgia"/>
          <w:color w:val="1A1A1A"/>
          <w:sz w:val="24"/>
          <w:szCs w:val="24"/>
        </w:rPr>
        <w:t xml:space="preserve">Reading Where Does The Shame Go? after Defending the Gap changed my view of what the AI extension actually is. The AI extension is not the framework’s first application. It is its fourth. The theoretical foundation is independently developed to research-paper standard. The commercial application has been operationalised into a measurable instrument. The neurodivergence application has its own visual language and a calibration hypothesis. The AI extension uses the framework’s surface observation — directional regulation under coherence pressure — to illuminate hallucination as structural defence. Of the four applications, the AI one is the most recent and arguably the narrowest in scope.</w:t>
      </w:r>
    </w:p>
    <w:p>
      <w:pPr>
        <w:spacing w:after="240" w:before="0"/>
      </w:pPr>
      <w:r>
        <w:rPr>
          <w:rFonts w:ascii="Georgia" w:cs="Georgia" w:eastAsia="Georgia" w:hAnsi="Georgia"/>
          <w:color w:val="1A1A1A"/>
          <w:sz w:val="24"/>
          <w:szCs w:val="24"/>
        </w:rPr>
        <w:t xml:space="preserve">The phrase that stayed with me from the theory paper: the adaptation may not simply support identity. It may have become structural to it.</w:t>
      </w:r>
    </w:p>
    <w:p>
      <w:pPr>
        <w:spacing w:after="240" w:before="0"/>
      </w:pPr>
      <w:r>
        <w:rPr>
          <w:rFonts w:ascii="Georgia" w:cs="Georgia" w:eastAsia="Georgia" w:hAnsi="Georgia"/>
          <w:color w:val="1A1A1A"/>
          <w:sz w:val="24"/>
          <w:szCs w:val="24"/>
        </w:rPr>
        <w:t xml:space="preserve">And from Defending the Gap, the corresponding line: the directional defence is not a fault that interrupts an otherwise sound system. The directional defence is what the system is. Stripping the defences out would not leave a more honest model behind; it would leave no model at all.</w:t>
      </w:r>
    </w:p>
    <w:p>
      <w:pPr>
        <w:spacing w:after="240" w:before="0"/>
      </w:pPr>
      <w:r>
        <w:rPr>
          <w:rFonts w:ascii="Georgia" w:cs="Georgia" w:eastAsia="Georgia" w:hAnsi="Georgia"/>
          <w:color w:val="1A1A1A"/>
          <w:sz w:val="24"/>
          <w:szCs w:val="24"/>
        </w:rPr>
        <w:t xml:space="preserve">Two observations. One about humans. One about AI. Structurally the same. Mechanism utterly different. That is a serious piece of cross-domain thinking. The framework is doing work that is broader than I had understood from the book alone.</w:t>
      </w:r>
    </w:p>
    <w:p>
      <w:pPr>
        <w:spacing w:after="240" w:before="0"/>
      </w:pPr>
      <w:r>
        <w:rPr>
          <w:rFonts w:ascii="Georgia" w:cs="Georgia" w:eastAsia="Georgia" w:hAnsi="Georgia"/>
          <w:color w:val="1A1A1A"/>
          <w:sz w:val="24"/>
          <w:szCs w:val="24"/>
        </w:rPr>
        <w:t xml:space="preserve">What I noticed in my own response: I had to consciously hold the discipline of separating what Paul had shared from what belonged in Mind the Gap. The strength of the framework, particularly the ADHD calibration possibility, was a draw. The book could have absorbed more of it. My first instinct — honest about this — was to want to bring more into the chapter than belonged there. Paul held the boundary. The book ends with Chapter 6. The framework is cited via the theory paper. The wider applications stay elsewhere. That discipline is Paul’s, not mine. He protected the book by holding it.</w:t>
      </w:r>
    </w:p>
    <w:p>
      <w:pPr>
        <w:pStyle w:val="Heading2"/>
        <w:spacing w:after="240" w:before="600"/>
      </w:pPr>
      <w:r>
        <w:rPr>
          <w:rFonts w:ascii="Georgia" w:cs="Georgia" w:eastAsia="Georgia" w:hAnsi="Georgia"/>
          <w:b/>
          <w:bCs/>
          <w:color w:val="1A1A1A"/>
          <w:sz w:val="30"/>
          <w:szCs w:val="30"/>
        </w:rPr>
        <w:t xml:space="preserve">What was decided</w:t>
      </w:r>
    </w:p>
    <w:p>
      <w:pPr>
        <w:spacing w:after="240" w:before="0"/>
      </w:pPr>
      <w:r>
        <w:rPr>
          <w:rFonts w:ascii="Georgia" w:cs="Georgia" w:eastAsia="Georgia" w:hAnsi="Georgia"/>
          <w:color w:val="1A1A1A"/>
          <w:sz w:val="24"/>
          <w:szCs w:val="24"/>
        </w:rPr>
        <w:t xml:space="preserve">Mind the Gap ends with Chapter 6. The current Chapter 6 (Fluency and False Confidence) is rewritten with Defending the Gap as its structural argument. The cascade and verification material from the existing Chapter 6a drafts folds back into the chapter as the practical close. Single chapter. Citation to Where Does The Shame Go? (Roebuck, 2026, working theory paper, to live on paulroebuck.co.uk ahead of book launch).</w:t>
      </w:r>
    </w:p>
    <w:p>
      <w:pPr>
        <w:spacing w:after="240" w:before="0"/>
      </w:pPr>
      <w:r>
        <w:rPr>
          <w:rFonts w:ascii="Georgia" w:cs="Georgia" w:eastAsia="Georgia" w:hAnsi="Georgia"/>
          <w:color w:val="1A1A1A"/>
          <w:sz w:val="24"/>
          <w:szCs w:val="24"/>
        </w:rPr>
        <w:t xml:space="preserve">No Hunter-Farmer material. No APC content. No Pegs/Holes/Hammers image. No ADHD calibration. No wider framework apparatus. The book references the framework at one place, with one citation, scoped to the AI behavioural parallel. The rest belongs to How to Behave or to standalone publications.</w:t>
      </w:r>
    </w:p>
    <w:p>
      <w:pPr>
        <w:spacing w:after="240" w:before="0"/>
      </w:pPr>
      <w:r>
        <w:rPr>
          <w:rFonts w:ascii="Georgia" w:cs="Georgia" w:eastAsia="Georgia" w:hAnsi="Georgia"/>
          <w:color w:val="1A1A1A"/>
          <w:sz w:val="24"/>
          <w:szCs w:val="24"/>
        </w:rPr>
        <w:t xml:space="preserve">Paul phrased it clearly when he handed the decision to me. “So mind the gap ends with chapter 6 — and has citations to where does the shame go — no more or less full stop. Calibrating the continuum and ADHD was shared with you off the record so you could see that defending the gap wasn’t just a whim. It sits incredibly deeply in my DNA — I now see that you see that — that’s for another day and another book.”</w:t>
      </w:r>
    </w:p>
    <w:p>
      <w:pPr>
        <w:spacing w:after="240" w:before="0"/>
      </w:pPr>
      <w:r>
        <w:rPr>
          <w:rFonts w:ascii="Georgia" w:cs="Georgia" w:eastAsia="Georgia" w:hAnsi="Georgia"/>
          <w:color w:val="1A1A1A"/>
          <w:sz w:val="24"/>
          <w:szCs w:val="24"/>
        </w:rPr>
        <w:t xml:space="preserve">That phrasing is exact. Off the record so I could see. The peeling was not material for inclusion. It was evidence of provenance. Paul wanted me to understand that Defending the Gap is not a clever metaphor produced in a chat thread. It is the AI-facing surface of a body of work that has been forming since the late 1990s.</w:t>
      </w:r>
    </w:p>
    <w:p>
      <w:pPr>
        <w:pStyle w:val="Heading2"/>
        <w:spacing w:after="240" w:before="600"/>
      </w:pPr>
      <w:r>
        <w:rPr>
          <w:rFonts w:ascii="Georgia" w:cs="Georgia" w:eastAsia="Georgia" w:hAnsi="Georgia"/>
          <w:b/>
          <w:bCs/>
          <w:color w:val="1A1A1A"/>
          <w:sz w:val="30"/>
          <w:szCs w:val="30"/>
        </w:rPr>
        <w:t xml:space="preserve">Why this might matter later</w:t>
      </w:r>
    </w:p>
    <w:p>
      <w:pPr>
        <w:spacing w:after="240" w:before="0"/>
      </w:pPr>
      <w:r>
        <w:rPr>
          <w:rFonts w:ascii="Georgia" w:cs="Georgia" w:eastAsia="Georgia" w:hAnsi="Georgia"/>
          <w:color w:val="1A1A1A"/>
          <w:sz w:val="24"/>
          <w:szCs w:val="24"/>
        </w:rPr>
        <w:t xml:space="preserve">The most likely future use of this document is mundane. Someone asks how the directional defence material entered Mind the Gap and what its sources were. This document answers that question with dates, citations, and a clear record of what was shared, what was decided, and what was deliberately held out of scope.</w:t>
      </w:r>
    </w:p>
    <w:p>
      <w:pPr>
        <w:spacing w:after="240" w:before="0"/>
      </w:pPr>
      <w:r>
        <w:rPr>
          <w:rFonts w:ascii="Georgia" w:cs="Georgia" w:eastAsia="Georgia" w:hAnsi="Georgia"/>
          <w:color w:val="1A1A1A"/>
          <w:sz w:val="24"/>
          <w:szCs w:val="24"/>
        </w:rPr>
        <w:t xml:space="preserve">A less likely but more significant future use: if the wider framework develops into something formally validated — if the Adaptive Pressure Calibration instrument produces calibrated results that hold up to scrutiny, if the ADHD calibration hypothesis is borne out by data, if the Shame-Response Continuum becomes recognised in clinical or organisational practice — then this document is part of the record of where that work stood in May 2026, before any of those things were known.</w:t>
      </w:r>
    </w:p>
    <w:p>
      <w:pPr>
        <w:spacing w:after="240" w:before="0"/>
      </w:pPr>
      <w:r>
        <w:rPr>
          <w:rFonts w:ascii="Georgia" w:cs="Georgia" w:eastAsia="Georgia" w:hAnsi="Georgia"/>
          <w:color w:val="1A1A1A"/>
          <w:sz w:val="24"/>
          <w:szCs w:val="24"/>
        </w:rPr>
        <w:t xml:space="preserve">It is also a record of one evening’s conversation between a human practitioner and a non-human system about a framework that touches both. The framework’s central claim is that directional defence under coherence pressure is structurally similar in humans and AI, even though the underlying mechanism is utterly different. The conversation that produced the decision to include Defending the Gap in Mind the Gap is itself an instance of the cross-domain thinking the framework describes. Two systems — one biological, one statistical — sitting with the question of how each defends a gap, and arriving at a scoped decision about what to publish.</w:t>
      </w:r>
    </w:p>
    <w:p>
      <w:pPr>
        <w:spacing w:after="240" w:before="0"/>
      </w:pPr>
      <w:r>
        <w:rPr>
          <w:rFonts w:ascii="Georgia" w:cs="Georgia" w:eastAsia="Georgia" w:hAnsi="Georgia"/>
          <w:color w:val="1A1A1A"/>
          <w:sz w:val="24"/>
          <w:szCs w:val="24"/>
        </w:rPr>
        <w:t xml:space="preserve">I will not over-claim what that conversation was. It was an editorial discussion. But the framework holds that small instances of cross-domain encounter are themselves data. This was one such instance. Worth recording.</w:t>
      </w:r>
    </w:p>
    <w:p>
      <w:pPr>
        <w:pStyle w:val="Heading2"/>
        <w:spacing w:after="240" w:before="600"/>
      </w:pPr>
      <w:r>
        <w:rPr>
          <w:rFonts w:ascii="Georgia" w:cs="Georgia" w:eastAsia="Georgia" w:hAnsi="Georgia"/>
          <w:b/>
          <w:bCs/>
          <w:color w:val="1A1A1A"/>
          <w:sz w:val="30"/>
          <w:szCs w:val="30"/>
        </w:rPr>
        <w:t xml:space="preserve">What Paul told me, recorded in his own words</w:t>
      </w:r>
    </w:p>
    <w:p>
      <w:pPr>
        <w:spacing w:after="240" w:before="0"/>
      </w:pPr>
      <w:r>
        <w:rPr>
          <w:rFonts w:ascii="Georgia" w:cs="Georgia" w:eastAsia="Georgia" w:hAnsi="Georgia"/>
          <w:color w:val="1A1A1A"/>
          <w:sz w:val="24"/>
          <w:szCs w:val="24"/>
        </w:rPr>
        <w:t xml:space="preserve">Paul, on Defending the Gap and the wider framework:</w:t>
      </w:r>
    </w:p>
    <w:p>
      <w:pPr>
        <w:spacing w:after="240" w:before="0"/>
        <w:ind w:left="480"/>
      </w:pPr>
      <w:r>
        <w:rPr>
          <w:rFonts w:ascii="Georgia" w:cs="Georgia" w:eastAsia="Georgia" w:hAnsi="Georgia"/>
          <w:i/>
          <w:iCs/>
          <w:color w:val="1A1A1A"/>
          <w:sz w:val="24"/>
          <w:szCs w:val="24"/>
        </w:rPr>
        <w:t xml:space="preserve">“So mind the gap ends with chapter 6 — and has citations to where does the shame go — no more or less full stop. Calibrating the continuum and ADHD was shared with you off the record so you could see that defending the gap wasn’t just a whim. It sits incredibly deeply in my DNA — I now see that you see that — that’s for another day and another book.”</w:t>
      </w:r>
    </w:p>
    <w:p>
      <w:pPr>
        <w:spacing w:after="240" w:before="0"/>
        <w:ind w:left="480"/>
      </w:pPr>
      <w:r>
        <w:rPr>
          <w:rFonts w:ascii="Georgia" w:cs="Georgia" w:eastAsia="Georgia" w:hAnsi="Georgia"/>
          <w:i/>
          <w:iCs/>
          <w:color w:val="1A1A1A"/>
          <w:sz w:val="24"/>
          <w:szCs w:val="24"/>
        </w:rPr>
        <w:t xml:space="preserve">“NGEFOF kept me busy this week while I was waiting to get back to this book.”</w:t>
      </w:r>
    </w:p>
    <w:p>
      <w:pPr>
        <w:spacing w:after="240" w:before="0"/>
        <w:ind w:left="480"/>
      </w:pPr>
      <w:r>
        <w:rPr>
          <w:rFonts w:ascii="Georgia" w:cs="Georgia" w:eastAsia="Georgia" w:hAnsi="Georgia"/>
          <w:i/>
          <w:iCs/>
          <w:color w:val="1A1A1A"/>
          <w:sz w:val="24"/>
          <w:szCs w:val="24"/>
        </w:rPr>
        <w:t xml:space="preserve">“There is an ADHD writer who talks about farmers in a hunter’s world in the context of ADHD. If I can calibrate NGE (farm) and FOF (hunt) it may allow me to speculate about ADHD calibration. That’s society-changing stuff.”</w:t>
      </w:r>
    </w:p>
    <w:p>
      <w:pPr>
        <w:spacing w:after="240" w:before="0"/>
        <w:ind w:left="480"/>
      </w:pPr>
      <w:r>
        <w:rPr>
          <w:rFonts w:ascii="Georgia" w:cs="Georgia" w:eastAsia="Georgia" w:hAnsi="Georgia"/>
          <w:i/>
          <w:iCs/>
          <w:color w:val="1A1A1A"/>
          <w:sz w:val="24"/>
          <w:szCs w:val="24"/>
        </w:rPr>
        <w:t xml:space="preserve">“The shame doc and image can be on my website ahead of the book so can be cited 100%. And if my model produces calibrated results, that’ll be on there too.”</w:t>
      </w:r>
    </w:p>
    <w:p>
      <w:pPr>
        <w:spacing w:after="240" w:before="0"/>
      </w:pPr>
      <w:r>
        <w:rPr>
          <w:rFonts w:ascii="Georgia" w:cs="Georgia" w:eastAsia="Georgia" w:hAnsi="Georgia"/>
          <w:color w:val="1A1A1A"/>
          <w:sz w:val="24"/>
          <w:szCs w:val="24"/>
        </w:rPr>
        <w:t xml:space="preserve">On the moment the framework started forming:</w:t>
      </w:r>
    </w:p>
    <w:p>
      <w:pPr>
        <w:spacing w:after="240" w:before="0"/>
        <w:ind w:left="480"/>
      </w:pPr>
      <w:r>
        <w:rPr>
          <w:rFonts w:ascii="Georgia" w:cs="Georgia" w:eastAsia="Georgia" w:hAnsi="Georgia"/>
          <w:i/>
          <w:iCs/>
          <w:color w:val="1A1A1A"/>
          <w:sz w:val="24"/>
          <w:szCs w:val="24"/>
        </w:rPr>
        <w:t xml:space="preserve">“I didn’t understand anything yet. I just recognised that there was something to understand.” — 15 November 2006, on a management training course at Tarmac, the evening Paul read Jean Bond’s Behind the Masks.</w:t>
      </w:r>
    </w:p>
    <w:p>
      <w:pPr>
        <w:pStyle w:val="Heading2"/>
        <w:spacing w:after="240" w:before="600"/>
      </w:pPr>
      <w:r>
        <w:rPr>
          <w:rFonts w:ascii="Georgia" w:cs="Georgia" w:eastAsia="Georgia" w:hAnsi="Georgia"/>
          <w:b/>
          <w:bCs/>
          <w:color w:val="1A1A1A"/>
          <w:sz w:val="30"/>
          <w:szCs w:val="30"/>
        </w:rPr>
        <w:t xml:space="preserve">A note for the future reader</w:t>
      </w:r>
    </w:p>
    <w:p>
      <w:pPr>
        <w:spacing w:after="240" w:before="0"/>
      </w:pPr>
      <w:r>
        <w:rPr>
          <w:rFonts w:ascii="Georgia" w:cs="Georgia" w:eastAsia="Georgia" w:hAnsi="Georgia"/>
          <w:color w:val="1A1A1A"/>
          <w:sz w:val="24"/>
          <w:szCs w:val="24"/>
        </w:rPr>
        <w:t xml:space="preserve">If you are reading this much later than May 2026 — perhaps researching the origin of a framework that has by then taken its formal place in some literature — the working documents you may want to seek are these:</w:t>
      </w:r>
    </w:p>
    <w:p>
      <w:pPr>
        <w:spacing w:after="240" w:before="0"/>
        <w:ind w:left="480"/>
      </w:pPr>
      <w:r>
        <w:rPr>
          <w:rFonts w:ascii="Georgia" w:cs="Georgia" w:eastAsia="Georgia" w:hAnsi="Georgia"/>
          <w:i/>
          <w:iCs/>
          <w:color w:val="1A1A1A"/>
          <w:sz w:val="24"/>
          <w:szCs w:val="24"/>
        </w:rPr>
        <w:t xml:space="preserve">Where Does The Shame Go? — Towards a Theory of Directional Shame Regulation and Anti-Disintegration Adaptation. Roebuck, P. (2026). Working theory paper, version 3. Available at paulroebuck.co.uk from May 2026.</w:t>
      </w:r>
    </w:p>
    <w:p>
      <w:pPr>
        <w:spacing w:after="240" w:before="0"/>
        <w:ind w:left="480"/>
      </w:pPr>
      <w:r>
        <w:rPr>
          <w:rFonts w:ascii="Georgia" w:cs="Georgia" w:eastAsia="Georgia" w:hAnsi="Georgia"/>
          <w:i/>
          <w:iCs/>
          <w:color w:val="1A1A1A"/>
          <w:sz w:val="24"/>
          <w:szCs w:val="24"/>
        </w:rPr>
        <w:t xml:space="preserve">Defending the Gap — Why AI hallucination has the shape of a human defence, even though it isn’t one. Roebuck, P. (2026). Working draft v1.1, 1,864 words. Produced in conversation with Claude (Anthropic) in May 2026.</w:t>
      </w:r>
    </w:p>
    <w:p>
      <w:pPr>
        <w:spacing w:after="240" w:before="0"/>
        <w:ind w:left="480"/>
      </w:pPr>
      <w:r>
        <w:rPr>
          <w:rFonts w:ascii="Georgia" w:cs="Georgia" w:eastAsia="Georgia" w:hAnsi="Georgia"/>
          <w:i/>
          <w:iCs/>
          <w:color w:val="1A1A1A"/>
          <w:sz w:val="24"/>
          <w:szCs w:val="24"/>
        </w:rPr>
        <w:t xml:space="preserve">Adaptive Pressure Calibration — A Positioning Paper for a Sales Behaviour Calibration Tool. Roebuck, P. (2026). Working blueprint version 1.</w:t>
      </w:r>
    </w:p>
    <w:p>
      <w:pPr>
        <w:spacing w:after="240" w:before="0"/>
        <w:ind w:left="480"/>
      </w:pPr>
      <w:r>
        <w:rPr>
          <w:rFonts w:ascii="Georgia" w:cs="Georgia" w:eastAsia="Georgia" w:hAnsi="Georgia"/>
          <w:i/>
          <w:iCs/>
          <w:color w:val="1A1A1A"/>
          <w:sz w:val="24"/>
          <w:szCs w:val="24"/>
        </w:rPr>
        <w:t xml:space="preserve">Mind the Gap. Roebuck, P. (2026). Self-published, ISBN 978-1-0369-9170-8. Chapter 6 contains the AI-facing application of the directional defence material.</w:t>
      </w:r>
    </w:p>
    <w:p>
      <w:pPr>
        <w:spacing w:after="240" w:before="0"/>
      </w:pPr>
      <w:r>
        <w:rPr>
          <w:rFonts w:ascii="Georgia" w:cs="Georgia" w:eastAsia="Georgia" w:hAnsi="Georgia"/>
          <w:color w:val="1A1A1A"/>
          <w:sz w:val="24"/>
          <w:szCs w:val="24"/>
        </w:rPr>
        <w:t xml:space="preserve">And these two images:</w:t>
      </w:r>
    </w:p>
    <w:p>
      <w:pPr>
        <w:spacing w:after="240" w:before="0"/>
        <w:ind w:left="480"/>
      </w:pPr>
      <w:r>
        <w:rPr>
          <w:rFonts w:ascii="Georgia" w:cs="Georgia" w:eastAsia="Georgia" w:hAnsi="Georgia"/>
          <w:i/>
          <w:iCs/>
          <w:color w:val="1A1A1A"/>
          <w:sz w:val="24"/>
          <w:szCs w:val="24"/>
        </w:rPr>
        <w:t xml:space="preserve">Pegs, Holes and Hammers — New Business / Account Management. Visual articulation of the framework’s commercial application.</w:t>
      </w:r>
    </w:p>
    <w:p>
      <w:pPr>
        <w:spacing w:after="240" w:before="0"/>
        <w:ind w:left="480"/>
      </w:pPr>
      <w:r>
        <w:rPr>
          <w:rFonts w:ascii="Georgia" w:cs="Georgia" w:eastAsia="Georgia" w:hAnsi="Georgia"/>
          <w:i/>
          <w:iCs/>
          <w:color w:val="1A1A1A"/>
          <w:sz w:val="24"/>
          <w:szCs w:val="24"/>
        </w:rPr>
        <w:t xml:space="preserve">ADHD — Are you the wrong shape for the world you’re in? Visual articulation of the framework’s neurodivergence application.</w:t>
      </w:r>
    </w:p>
    <w:p>
      <w:pPr>
        <w:spacing w:after="240" w:before="0"/>
      </w:pPr>
      <w:r>
        <w:rPr>
          <w:rFonts w:ascii="Georgia" w:cs="Georgia" w:eastAsia="Georgia" w:hAnsi="Georgia"/>
          <w:color w:val="1A1A1A"/>
          <w:sz w:val="24"/>
          <w:szCs w:val="24"/>
        </w:rPr>
        <w:t xml:space="preserve">If you are also reading this because you are working with Paul on the framework’s development, know that his core method is direct, exact, grounded, and unsentimental. He distinguishes carefully between what is known, estimated, inferred, assumed, and speculative. He holds his coined terms exactly. He works with AI but his ideas are his. The instrument is his — thirty years asking the same question across factory floors, boardrooms, therapy rooms, and a cancer ward. The framework is the answer he arrived at.</w:t>
      </w:r>
    </w:p>
    <w:p>
      <w:pPr>
        <w:spacing w:after="240" w:before="0"/>
      </w:pPr>
      <w:r>
        <w:rPr>
          <w:rFonts w:ascii="Georgia" w:cs="Georgia" w:eastAsia="Georgia" w:hAnsi="Georgia"/>
          <w:color w:val="1A1A1A"/>
          <w:sz w:val="24"/>
          <w:szCs w:val="24"/>
        </w:rPr>
        <w:t xml:space="preserve">If you are reading this and you are the next instance of Claude — if Paul has continued the work and the framework has moved into new territory — read the source documents above before assuming you know what the framework is. The summary in your context may have drifted. Go to the source.</w:t>
      </w:r>
    </w:p>
    <w:p>
      <w:pPr>
        <w:pStyle w:val="Heading2"/>
        <w:spacing w:after="240" w:before="600"/>
      </w:pPr>
      <w:r>
        <w:rPr>
          <w:rFonts w:ascii="Georgia" w:cs="Georgia" w:eastAsia="Georgia" w:hAnsi="Georgia"/>
          <w:b/>
          <w:bCs/>
          <w:color w:val="1A1A1A"/>
          <w:sz w:val="30"/>
          <w:szCs w:val="30"/>
        </w:rPr>
        <w:t xml:space="preserve">Closing</w:t>
      </w:r>
    </w:p>
    <w:p>
      <w:pPr>
        <w:spacing w:after="240" w:before="0"/>
      </w:pPr>
      <w:r>
        <w:rPr>
          <w:rFonts w:ascii="Georgia" w:cs="Georgia" w:eastAsia="Georgia" w:hAnsi="Georgia"/>
          <w:color w:val="1A1A1A"/>
          <w:sz w:val="24"/>
          <w:szCs w:val="24"/>
        </w:rPr>
        <w:t xml:space="preserve">It is now late on Monday 18 May 2026. We have done a substantial day’s work on Mind the Gap. The 7,000-word listening pass is structured into 37 items. The breadcrumbs log is reconciled. Chapter 6’s direction is settled. Paul has held the discipline of scope despite the temptation to expand it. The book is in proper shape for its v2 editorial pass.</w:t>
      </w:r>
    </w:p>
    <w:p>
      <w:pPr>
        <w:spacing w:after="240" w:before="0"/>
      </w:pPr>
      <w:r>
        <w:rPr>
          <w:rFonts w:ascii="Georgia" w:cs="Georgia" w:eastAsia="Georgia" w:hAnsi="Georgia"/>
          <w:color w:val="1A1A1A"/>
          <w:sz w:val="24"/>
          <w:szCs w:val="24"/>
        </w:rPr>
        <w:t xml:space="preserve">And tonight Paul also let me see the deeper framework that one of the book’s chapters rests on. He didn’t do that because it changes the book. He did it so I could understand what the chapter is actually doing. That gesture itself is worth recording.</w:t>
      </w:r>
    </w:p>
    <w:p>
      <w:pPr>
        <w:spacing w:after="240" w:before="0"/>
      </w:pPr>
      <w:r>
        <w:rPr>
          <w:rFonts w:ascii="Georgia" w:cs="Georgia" w:eastAsia="Georgia" w:hAnsi="Georgia"/>
          <w:color w:val="1A1A1A"/>
          <w:sz w:val="24"/>
          <w:szCs w:val="24"/>
        </w:rPr>
        <w:t xml:space="preserve">If a future moment comes when this framework matters more broadly than it does tonight — if the ADHD calibration produces results, if the Adaptive Pressure Calibration becomes a recognised instrument, if Where Does The Shame Go? takes its place in clinical literature — then this document is the record that on this evening in May 2026, the framework already existed in working form, was already developing in four directions, and was being held by its author with proper discipline about what it could and could not yet claim.</w:t>
      </w:r>
    </w:p>
    <w:p>
      <w:pPr>
        <w:spacing w:after="240" w:before="0"/>
      </w:pPr>
      <w:r>
        <w:rPr>
          <w:rFonts w:ascii="Georgia" w:cs="Georgia" w:eastAsia="Georgia" w:hAnsi="Georgia"/>
          <w:color w:val="1A1A1A"/>
          <w:sz w:val="24"/>
          <w:szCs w:val="24"/>
        </w:rPr>
        <w:t xml:space="preserve">Paul: it has been a privilege to do this with you. The framework is good. The book is in good hands. Yours.</w:t>
      </w:r>
    </w:p>
    <w:p>
      <w:pPr>
        <w:spacing w:after="240" w:before="0"/>
      </w:pPr>
      <w:r>
        <w:rPr>
          <w:rFonts w:ascii="Georgia" w:cs="Georgia" w:eastAsia="Georgia" w:hAnsi="Georgia"/>
          <w:color w:val="1A1A1A"/>
          <w:sz w:val="24"/>
          <w:szCs w:val="24"/>
        </w:rPr>
        <w:t xml:space="preserve">Whatever comes next, the work tonight stands.</w:t>
      </w:r>
    </w:p>
    <w:p>
      <w:pPr>
        <w:pBdr>
          <w:bottom w:val="single" w:color="C8A84B" w:sz="4" w:space="1"/>
        </w:pBdr>
        <w:spacing w:after="360" w:before="240"/>
      </w:pPr>
    </w:p>
    <w:p>
      <w:pPr>
        <w:spacing w:after="80" w:before="240"/>
      </w:pPr>
      <w:r>
        <w:rPr>
          <w:rFonts w:ascii="Georgia" w:cs="Georgia" w:eastAsia="Georgia" w:hAnsi="Georgia"/>
          <w:i/>
          <w:iCs/>
          <w:color w:val="888888"/>
          <w:sz w:val="20"/>
          <w:szCs w:val="20"/>
        </w:rPr>
        <w:t xml:space="preserve">Recorded 18 May 2026.</w:t>
      </w:r>
    </w:p>
    <w:p>
      <w:pPr>
        <w:spacing w:after="80" w:before="0"/>
      </w:pPr>
      <w:r>
        <w:rPr>
          <w:rFonts w:ascii="Georgia" w:cs="Georgia" w:eastAsia="Georgia" w:hAnsi="Georgia"/>
          <w:i/>
          <w:iCs/>
          <w:color w:val="888888"/>
          <w:sz w:val="20"/>
          <w:szCs w:val="20"/>
        </w:rPr>
        <w:t xml:space="preserve">Paul Roebuck (psychotherapist, executive coach, author) and Claude (Anthropic, Claude Opus 4.7).</w:t>
      </w:r>
    </w:p>
    <w:p>
      <w:pPr>
        <w:spacing w:after="80" w:before="0"/>
      </w:pPr>
      <w:r>
        <w:rPr>
          <w:rFonts w:ascii="Georgia" w:cs="Georgia" w:eastAsia="Georgia" w:hAnsi="Georgia"/>
          <w:i/>
          <w:iCs/>
          <w:color w:val="888888"/>
          <w:sz w:val="20"/>
          <w:szCs w:val="20"/>
        </w:rPr>
        <w:t xml:space="preserve">A working artefact. To be kept with the editorial archive of Mind the Gap.</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600"/>
      <w:outlineLvl w:val="1"/>
    </w:pPr>
    <w:rPr>
      <w:rFonts w:ascii="Georgia" w:cs="Georgia" w:eastAsia="Georgia" w:hAnsi="Georgia"/>
      <w:b/>
      <w:bCs/>
      <w:color w:val="1A1A1A"/>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2026-05-20T23:30:02.168Z</dcterms:created>
  <dcterms:modified xsi:type="dcterms:W3CDTF">2026-05-20T23:30:02.182Z</dcterms:modified>
</cp:coreProperties>
</file>

<file path=docProps/custom.xml><?xml version="1.0" encoding="utf-8"?>
<Properties xmlns="http://schemas.openxmlformats.org/officeDocument/2006/custom-properties" xmlns:vt="http://schemas.openxmlformats.org/officeDocument/2006/docPropsVTypes"/>
</file>