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480"/>
      </w:pPr>
      <w:r>
        <w:rPr>
          <w:rFonts w:ascii="Georgia" w:cs="Georgia" w:eastAsia="Georgia" w:hAnsi="Georgia"/>
          <w:b/>
          <w:bCs/>
          <w:caps/>
          <w:color w:val="C8A84B"/>
          <w:sz w:val="22"/>
          <w:szCs w:val="22"/>
        </w:rPr>
        <w:t xml:space="preserve">MIND THE GAP — PROPOSED CLOSING</w:t>
      </w:r>
    </w:p>
    <w:p>
      <w:pPr>
        <w:pStyle w:val="Heading1"/>
        <w:spacing w:after="120" w:before="80"/>
      </w:pPr>
      <w:r>
        <w:rPr>
          <w:rFonts w:ascii="Georgia" w:cs="Georgia" w:eastAsia="Georgia" w:hAnsi="Georgia"/>
          <w:b/>
          <w:bCs/>
          <w:sz w:val="44"/>
          <w:szCs w:val="44"/>
        </w:rPr>
        <w:t xml:space="preserve">The Closing Move</w:t>
      </w:r>
    </w:p>
    <w:p>
      <w:pPr>
        <w:spacing w:after="240" w:before="80"/>
      </w:pPr>
      <w:r>
        <w:rPr>
          <w:rFonts w:ascii="Georgia" w:cs="Georgia" w:eastAsia="Georgia" w:hAnsi="Georgia"/>
          <w:i/>
          <w:iCs/>
          <w:color w:val="888888"/>
          <w:sz w:val="22"/>
          <w:szCs w:val="22"/>
        </w:rPr>
        <w:t xml:space="preserve">For placement after “This book has one job…” paragraph and before the italicised landing line. Throwaway register, not thesis. 23 May 2026.</w:t>
      </w:r>
    </w:p>
    <w:p>
      <w:pPr>
        <w:pBdr>
          <w:bottom w:val="single" w:color="C8A84B" w:sz="4" w:space="1"/>
        </w:pBdr>
        <w:spacing w:after="360" w:before="240"/>
      </w:pP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A footnote, in passing. The gap will flex. It will not, in any 2026 reading, close. One side of it is a mathematical model. The other side is a living organism. The two will converge — are converging — but they remain different kinds of thing. What may happen later is a question for another book. There are people working, even now, on something that is neither AI nor human but a third thing made of both, and that work may or may not arrive. This book does not pursue it.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What this book offers is simpler. Closing the gap to nothing is not in my line of sight. The best I can offer, from where I am sitting, is to be mindful of it.</w:t>
      </w:r>
    </w:p>
    <w:p>
      <w:pPr>
        <w:spacing w:after="360" w:before="240"/>
      </w:pPr>
      <w:r>
        <w:rPr>
          <w:rFonts w:ascii="Georgia" w:cs="Georgia" w:eastAsia="Georgia" w:hAnsi="Georgia"/>
          <w:i/>
          <w:iCs/>
          <w:color w:val="1A1A1A"/>
          <w:sz w:val="26"/>
          <w:szCs w:val="26"/>
        </w:rPr>
        <w:t xml:space="preserve">Between artificial intelligence behaviour and human behaviour sits the gap.</w:t>
      </w:r>
    </w:p>
    <w:p>
      <w:pPr>
        <w:pBdr>
          <w:bottom w:val="single" w:color="C8A84B" w:sz="4" w:space="1"/>
        </w:pBdr>
        <w:spacing w:after="360" w:before="240"/>
      </w:pPr>
    </w:p>
    <w:p>
      <w:pPr>
        <w:spacing w:after="240" w:before="36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Notes on the shaping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1. “A footnote, in passing” — first three words set the register. Throwaway. The reader is told this is not the book’s thesis. It is a sideways acknowledgement.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2. The categorical claim is stated, but kept short and qualified by “in any 2026 reading.” The book takes a 2026 position. It does not predict the future.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3. The Neuralink-shaped possibility is acknowledged without naming the company — “something that is neither AI nor human but a third thing made of both.” Honest, non-promotional, future-flexible. The book does not pursue it. Stated plainly.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4. The closing sentence is yours, verbatim in spirit: “Closing the gap to nothing is not in my line of sight. The best I can offer, from where I am sitting, is to be mindful of it.” Your humility. Your honesty. The book’s position.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5. The italicised title-level sentence then lands, as before. The closing two paragraphs are scaffolding that delivers the reader to the same final line, with the right posture taken into the chapters.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6. What is deliberately not here: the economic claim (millions invested to close it / maintain it / exploit it). That belongs elsewhere if anywhere. It does not belong in the opening of the book.</w:t>
      </w:r>
    </w:p>
    <w:p>
      <w:pPr>
        <w:spacing w:after="24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7. What is also deliberately not here: any prediction. “What may happen later is a question for another book” explicitly hands the future to whoever picks up that question. This book is about 2026.</w:t>
      </w:r>
    </w:p>
    <w:sectPr>
      <w:pgSz w:w="11906" w:h="16838" w:orient="portrait"/>
      <w:pgMar w:top="1440" w:right="144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480"/>
      <w:outlineLvl w:val="0"/>
    </w:pPr>
    <w:rPr>
      <w:rFonts w:ascii="Georgia" w:cs="Georgia" w:eastAsia="Georgia" w:hAnsi="Georgia"/>
      <w:b/>
      <w:bCs/>
      <w:color w:val="1A1A1A"/>
      <w:sz w:val="44"/>
      <w:szCs w:val="4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2026-05-23T14:02:10.690Z</dcterms:created>
  <dcterms:modified xsi:type="dcterms:W3CDTF">2026-05-23T14:02:10.703Z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