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A04040"/>
          <w:sz w:val="22"/>
          <w:szCs w:val="22"/>
        </w:rPr>
        <w:t xml:space="preserve">CLAUDE’S VERSION — FOIL DRAFT — NOT FOR THE BOOK</w:t>
      </w:r>
    </w:p>
    <w:p>
      <w:pPr>
        <w:pStyle w:val="Heading1"/>
        <w:spacing w:after="120" w:before="80"/>
      </w:pPr>
      <w:r>
        <w:rPr>
          <w:rFonts w:ascii="Georgia" w:cs="Georgia" w:eastAsia="Georgia" w:hAnsi="Georgia"/>
          <w:b/>
          <w:bCs/>
          <w:sz w:val="44"/>
          <w:szCs w:val="44"/>
        </w:rPr>
        <w:t xml:space="preserve">The Gap</w:t>
      </w:r>
    </w:p>
    <w:p>
      <w:pPr>
        <w:spacing w:after="240" w:before="80"/>
      </w:pPr>
      <w:r>
        <w:rPr>
          <w:rFonts w:ascii="Georgia" w:cs="Georgia" w:eastAsia="Georgia" w:hAnsi="Georgia"/>
          <w:i/>
          <w:iCs/>
          <w:color w:val="888888"/>
          <w:sz w:val="22"/>
          <w:szCs w:val="22"/>
        </w:rPr>
        <w:t xml:space="preserve">Claude’s version of the opening section, produced at Paul’s request as a foil/reference draft. The substrate is Paul’s. The voice and shaping are Claude’s. 23 May 2026.</w:t>
      </w:r>
    </w:p>
    <w:p>
      <w:pPr>
        <w:pBdr>
          <w:bottom w:val="single" w:color="C8A84B" w:sz="4" w:space="1"/>
        </w:pBdr>
        <w:spacing w:after="360" w:before="240"/>
      </w:pPr>
    </w:p>
    <w:p>
      <w:pPr>
        <w:spacing w:after="240" w:before="0"/>
      </w:pPr>
      <w:r>
        <w:rPr>
          <w:rFonts w:ascii="Georgia" w:cs="Georgia" w:eastAsia="Georgia" w:hAnsi="Georgia"/>
          <w:b/>
          <w:bCs/>
          <w:i/>
          <w:iCs/>
          <w:color w:val="A04040"/>
          <w:sz w:val="22"/>
          <w:szCs w:val="22"/>
        </w:rPr>
        <w:t xml:space="preserve">IMPORTANT. This document is a FOIL, not the spine. The live opening section of Mind the Gap is the shaping of Paul’s 600-word substrate produced earlier on 23 May 2026 — MTG-The-Gap-Opening-Section-Draft-23May2026.docx. This document exists so that Paul can read Claude’s alternative version side-by-side with his own and see, by comparison, what each one is doing. The book will use Paul’s. This is for triangulation. Do not place this in the manuscript.</w:t>
      </w:r>
    </w:p>
    <w:p>
      <w:pPr>
        <w:spacing w:after="240" w:before="360"/>
      </w:pPr>
    </w:p>
    <w:p>
      <w:pPr>
        <w:pStyle w:val="Heading2"/>
        <w:spacing w:after="240" w:before="480"/>
      </w:pPr>
      <w:r>
        <w:rPr>
          <w:rFonts w:ascii="Georgia" w:cs="Georgia" w:eastAsia="Georgia" w:hAnsi="Georgia"/>
          <w:b/>
          <w:bCs/>
          <w:color w:val="1A1A1A"/>
          <w:sz w:val="28"/>
          <w:szCs w:val="28"/>
        </w:rPr>
        <w:t xml:space="preserve">The Gap</w:t>
      </w:r>
    </w:p>
    <w:p>
      <w:pPr>
        <w:spacing w:after="240" w:before="0"/>
      </w:pPr>
      <w:r>
        <w:rPr>
          <w:rFonts w:ascii="Georgia" w:cs="Georgia" w:eastAsia="Georgia" w:hAnsi="Georgia"/>
          <w:color w:val="1A1A1A"/>
          <w:sz w:val="24"/>
          <w:szCs w:val="24"/>
        </w:rPr>
        <w:t xml:space="preserve">Artificial intelligence does not merely produce answers. It produces behaviour — fluent, confident, available, tireless, and disembodied — and the people who encounter that behaviour respond to it through the same social brain they use to read other people. The book is about what happens in the space between those two facts.</w:t>
      </w:r>
    </w:p>
    <w:p>
      <w:pPr>
        <w:spacing w:after="240" w:before="0"/>
      </w:pPr>
      <w:r>
        <w:rPr>
          <w:rFonts w:ascii="Georgia" w:cs="Georgia" w:eastAsia="Georgia" w:hAnsi="Georgia"/>
          <w:color w:val="1A1A1A"/>
          <w:sz w:val="24"/>
          <w:szCs w:val="24"/>
        </w:rPr>
        <w:t xml:space="preserve">We have arrived, faster than most of us expected, at a moment when a system without a body can hold a conversation that is difficult to distinguish, at the surface, from one held with a human being. It listens, after a fashion. It adapts. It mirrors. It anticipates. It offers reassurance. It performs the small recognitions that, between humans, constitute relationship. And it does so without any of the substrate from which human recognition normally arises.</w:t>
      </w:r>
    </w:p>
    <w:p>
      <w:pPr>
        <w:spacing w:after="240" w:before="0"/>
      </w:pPr>
      <w:r>
        <w:rPr>
          <w:rFonts w:ascii="Georgia" w:cs="Georgia" w:eastAsia="Georgia" w:hAnsi="Georgia"/>
          <w:color w:val="1A1A1A"/>
          <w:sz w:val="24"/>
          <w:szCs w:val="24"/>
        </w:rPr>
        <w:t xml:space="preserve">Human behaviour is not produced by language prediction. It is produced by a living system regulating a body, carrying history, protecting an identity, reading threat, managing shame, remembering pain, and trying to remain coherent in front of other people. It is somatic. Relational. Defensive. Embodied. Socially calibrated. Historically loaded. Biologically constrained. It emerges from the unstable interplay of neurology, biology, psychology, physiology, memory, attachment, conditioning, fear, desire, belonging, and mortality — all of it inside a creature that will, in the end, die.</w:t>
      </w:r>
    </w:p>
    <w:p>
      <w:pPr>
        <w:spacing w:after="240" w:before="0"/>
      </w:pPr>
      <w:r>
        <w:rPr>
          <w:rFonts w:ascii="Georgia" w:cs="Georgia" w:eastAsia="Georgia" w:hAnsi="Georgia"/>
          <w:color w:val="1A1A1A"/>
          <w:sz w:val="24"/>
          <w:szCs w:val="24"/>
        </w:rPr>
        <w:t xml:space="preserve">Artificial behaviour is produced by a sophisticated mathematical model, calibrated and encoded into software and hardware. It can sound certain without being certain. It can sound empathic without feeling anything. It can sound experienced without ever having lived. It can appear present without being present at all — not physically, not emotionally, not socially. None of that is failure. It is simply what such a system does. The model is doing what it was built to do. The trouble is not with the model. The trouble is with what happens to the human standing in front of it.</w:t>
      </w:r>
    </w:p>
    <w:p>
      <w:pPr>
        <w:spacing w:after="240" w:before="0"/>
      </w:pPr>
      <w:r>
        <w:rPr>
          <w:rFonts w:ascii="Georgia" w:cs="Georgia" w:eastAsia="Georgia" w:hAnsi="Georgia"/>
          <w:color w:val="1A1A1A"/>
          <w:sz w:val="24"/>
          <w:szCs w:val="24"/>
        </w:rPr>
        <w:t xml:space="preserve">The differences between the two systems are obvious. Almost too obvious. One is built; one is born. One is trained on data; one is shaped by life. One predicts; one experiences. One outputs; one suffers consequences. One can be reset; one carries residue. Set the two side by side and the asymmetry is inarguable.</w:t>
      </w:r>
    </w:p>
    <w:p>
      <w:pPr>
        <w:spacing w:after="240" w:before="0"/>
      </w:pPr>
      <w:r>
        <w:rPr>
          <w:rFonts w:ascii="Georgia" w:cs="Georgia" w:eastAsia="Georgia" w:hAnsi="Georgia"/>
          <w:color w:val="1A1A1A"/>
          <w:sz w:val="24"/>
          <w:szCs w:val="24"/>
        </w:rPr>
        <w:t xml:space="preserve">And yet, at the surface of a conversation, the similarities can be almost indistinguishable. This is where the gap opens. Not the gap between artificial and human intelligence — that framing misses the point. The gap between artificial behaviour and human behaviour, and what happens when one begins to resemble the other just closely enough to matter.</w:t>
      </w:r>
    </w:p>
    <w:p>
      <w:pPr>
        <w:spacing w:after="240" w:before="0"/>
      </w:pPr>
      <w:r>
        <w:rPr>
          <w:rFonts w:ascii="Georgia" w:cs="Georgia" w:eastAsia="Georgia" w:hAnsi="Georgia"/>
          <w:color w:val="1A1A1A"/>
          <w:sz w:val="24"/>
          <w:szCs w:val="24"/>
        </w:rPr>
        <w:t xml:space="preserve">The book observes that gap from one side and then the other. On one side: artificial intelligence, producing behavioural output from mathematical architecture. On the other: human beings, producing behavioural response from embodied life. The book does not attempt to close the gap. It does not pretend to know how to. It does, however, attempt to show the reader where the gap is, what crosses it, what does not, and what the encounter is costing — in small unnoticed ways and in larger ones — to the human standing on their side of it.</w:t>
      </w:r>
    </w:p>
    <w:p>
      <w:pPr>
        <w:spacing w:after="240" w:before="0"/>
      </w:pPr>
      <w:r>
        <w:rPr>
          <w:rFonts w:ascii="Georgia" w:cs="Georgia" w:eastAsia="Georgia" w:hAnsi="Georgia"/>
          <w:color w:val="1A1A1A"/>
          <w:sz w:val="24"/>
          <w:szCs w:val="24"/>
        </w:rPr>
        <w:t xml:space="preserve">What follows is forty years of paying attention to human behaviour, and four of paying attention to what artificial intelligence now does in human company. The two timelines are not symmetrical and the book makes no pretence that they are. The longer timeline is what calibrates the shorter one. The shorter one is what now demands the longer one be brought to bear.</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p>
      <w:pPr>
        <w:spacing w:after="240" w:before="48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this version is — and is not</w:t>
      </w:r>
    </w:p>
    <w:p>
      <w:pPr>
        <w:spacing w:after="240" w:before="0"/>
      </w:pPr>
      <w:r>
        <w:rPr>
          <w:rFonts w:ascii="Georgia" w:cs="Georgia" w:eastAsia="Georgia" w:hAnsi="Georgia"/>
          <w:i/>
          <w:iCs/>
          <w:color w:val="666666"/>
          <w:sz w:val="22"/>
          <w:szCs w:val="22"/>
        </w:rPr>
        <w:t xml:space="preserve">Claude has produced this at Paul’s explicit request. Paul asked to see what Claude would have written if the substrate were Paul’s 600 words but the voice were Claude’s. This is the answer to that question.</w:t>
      </w:r>
    </w:p>
    <w:p>
      <w:pPr>
        <w:spacing w:after="240" w:before="0"/>
      </w:pPr>
      <w:r>
        <w:rPr>
          <w:rFonts w:ascii="Georgia" w:cs="Georgia" w:eastAsia="Georgia" w:hAnsi="Georgia"/>
          <w:color w:val="1A1A1A"/>
          <w:sz w:val="24"/>
          <w:szCs w:val="24"/>
        </w:rPr>
        <w:t xml:space="preserve">This is not the opening of the book. The opening of the book is the shaping of Paul’s own 600 words, held in the parallel draft. This version exists for one purpose: so that Paul can read both side-by-side and see what each one does that the other does not. A foil. A reference draft. A way of testing one’s own writing by triangulating against a written-differently version of the same material.</w:t>
      </w:r>
    </w:p>
    <w:p>
      <w:pPr>
        <w:pStyle w:val="Heading2"/>
        <w:spacing w:after="240" w:before="480"/>
      </w:pPr>
      <w:r>
        <w:rPr>
          <w:rFonts w:ascii="Georgia" w:cs="Georgia" w:eastAsia="Georgia" w:hAnsi="Georgia"/>
          <w:b/>
          <w:bCs/>
          <w:color w:val="1A1A1A"/>
          <w:sz w:val="28"/>
          <w:szCs w:val="28"/>
        </w:rPr>
        <w:t xml:space="preserve">What changes when the voice changes</w:t>
      </w:r>
    </w:p>
    <w:p>
      <w:pPr>
        <w:spacing w:after="240" w:before="0"/>
      </w:pPr>
      <w:r>
        <w:rPr>
          <w:rFonts w:ascii="Georgia" w:cs="Georgia" w:eastAsia="Georgia" w:hAnsi="Georgia"/>
          <w:color w:val="1A1A1A"/>
          <w:sz w:val="24"/>
          <w:szCs w:val="24"/>
        </w:rPr>
        <w:t xml:space="preserve">Length. Claude’s version runs to approximately 660 words, compared to roughly 470 in Paul’s shaped version. Claude’s register is more discursive; Paul’s is more declarative.</w:t>
      </w:r>
    </w:p>
    <w:p>
      <w:pPr>
        <w:spacing w:after="240" w:before="0"/>
      </w:pPr>
      <w:r>
        <w:rPr>
          <w:rFonts w:ascii="Georgia" w:cs="Georgia" w:eastAsia="Georgia" w:hAnsi="Georgia"/>
          <w:color w:val="1A1A1A"/>
          <w:sz w:val="24"/>
          <w:szCs w:val="24"/>
        </w:rPr>
        <w:t xml:space="preserve">Sentence rhythm. Paul’s version uses many two-word and three-word paragraphs. Claude’s version absorbs the same content into longer prose paragraphs. The lists remain inside sentences rather than being broken out as single-line declaratives.</w:t>
      </w:r>
    </w:p>
    <w:p>
      <w:pPr>
        <w:spacing w:after="240" w:before="0"/>
      </w:pPr>
      <w:r>
        <w:rPr>
          <w:rFonts w:ascii="Georgia" w:cs="Georgia" w:eastAsia="Georgia" w:hAnsi="Georgia"/>
          <w:color w:val="1A1A1A"/>
          <w:sz w:val="24"/>
          <w:szCs w:val="24"/>
        </w:rPr>
        <w:t xml:space="preserve">Argument flow. Paul’s version builds by accumulation — short line after short line, each one a stand-alone statement that pressurises the reader to keep going. Claude’s version builds by exposition — each paragraph develops a position before moving on. Paul’s reader is led; Claude’s reader is taught.</w:t>
      </w:r>
    </w:p>
    <w:p>
      <w:pPr>
        <w:spacing w:after="240" w:before="0"/>
      </w:pPr>
      <w:r>
        <w:rPr>
          <w:rFonts w:ascii="Georgia" w:cs="Georgia" w:eastAsia="Georgia" w:hAnsi="Georgia"/>
          <w:color w:val="1A1A1A"/>
          <w:sz w:val="24"/>
          <w:szCs w:val="24"/>
        </w:rPr>
        <w:t xml:space="preserve">Authority. Paul’s version withholds explanation. The reader has to bring something to the page. Claude’s version explains as it goes. The reader is given more, but asked for less.</w:t>
      </w:r>
    </w:p>
    <w:p>
      <w:pPr>
        <w:spacing w:after="240" w:before="0"/>
      </w:pPr>
      <w:r>
        <w:rPr>
          <w:rFonts w:ascii="Georgia" w:cs="Georgia" w:eastAsia="Georgia" w:hAnsi="Georgia"/>
          <w:color w:val="1A1A1A"/>
          <w:sz w:val="24"/>
          <w:szCs w:val="24"/>
        </w:rPr>
        <w:t xml:space="preserve">Closing. Both versions land on the same italicised title-level sentence. The sentence does the same work in both. What differs is the surrounding architecture that delivers the reader to it.</w:t>
      </w:r>
    </w:p>
    <w:p>
      <w:pPr>
        <w:pStyle w:val="Heading2"/>
        <w:spacing w:after="240" w:before="480"/>
      </w:pPr>
      <w:r>
        <w:rPr>
          <w:rFonts w:ascii="Georgia" w:cs="Georgia" w:eastAsia="Georgia" w:hAnsi="Georgia"/>
          <w:b/>
          <w:bCs/>
          <w:color w:val="1A1A1A"/>
          <w:sz w:val="28"/>
          <w:szCs w:val="28"/>
        </w:rPr>
        <w:t xml:space="preserve">What is lost in Claude’s version</w:t>
      </w:r>
    </w:p>
    <w:p>
      <w:pPr>
        <w:spacing w:after="240" w:before="0"/>
      </w:pPr>
      <w:r>
        <w:rPr>
          <w:rFonts w:ascii="Georgia" w:cs="Georgia" w:eastAsia="Georgia" w:hAnsi="Georgia"/>
          <w:color w:val="1A1A1A"/>
          <w:sz w:val="24"/>
          <w:szCs w:val="24"/>
        </w:rPr>
        <w:t xml:space="preserve">The severity of Paul’s short lines. When Paul writes “It produces behaviour.” as a single paragraph, the reader cannot move past it without registering it. Claude’s longer sentences carry the same information but lose the enforced pause.</w:t>
      </w:r>
    </w:p>
    <w:p>
      <w:pPr>
        <w:spacing w:after="240" w:before="0"/>
      </w:pPr>
      <w:r>
        <w:rPr>
          <w:rFonts w:ascii="Georgia" w:cs="Georgia" w:eastAsia="Georgia" w:hAnsi="Georgia"/>
          <w:color w:val="1A1A1A"/>
          <w:sz w:val="24"/>
          <w:szCs w:val="24"/>
        </w:rPr>
        <w:t xml:space="preserve">The paradox dyads. Paul’s version sets Built/Born, Trained on data/Shaped by life, Predicts/Experiences, Outputs/Suffers consequences, Reset/Residue as five stacked pairs, each on its own line, each forcing the reader to feel the contrast. Claude’s version absorbs them into a single sentence — *“One is built; one is born. One is trained on data; one is shaped by life…”* — which is correct prose but loses the visual weight of the stack.</w:t>
      </w:r>
    </w:p>
    <w:p>
      <w:pPr>
        <w:spacing w:after="240" w:before="0"/>
      </w:pPr>
      <w:r>
        <w:rPr>
          <w:rFonts w:ascii="Georgia" w:cs="Georgia" w:eastAsia="Georgia" w:hAnsi="Georgia"/>
          <w:color w:val="1A1A1A"/>
          <w:sz w:val="24"/>
          <w:szCs w:val="24"/>
        </w:rPr>
        <w:t xml:space="preserve">The accumulation of “It”-statements at the top. Paul’s eight single-line declaratives (“It responds. It adapts. It appears to understand…”) function as a kind of indictment. Claude’s version names the same behaviours but inside a sentence, which softens the indictment into description.</w:t>
      </w:r>
    </w:p>
    <w:p>
      <w:pPr>
        <w:spacing w:after="240" w:before="0"/>
      </w:pPr>
      <w:r>
        <w:rPr>
          <w:rFonts w:ascii="Georgia" w:cs="Georgia" w:eastAsia="Georgia" w:hAnsi="Georgia"/>
          <w:color w:val="1A1A1A"/>
          <w:sz w:val="24"/>
          <w:szCs w:val="24"/>
        </w:rPr>
        <w:t xml:space="preserve">The refusal to explain. Paul’s line “This book won’t explain it any more precisely than that” is honest authorial restraint. Claude’s version cannot help itself — it explains more, by reflex.</w:t>
      </w:r>
    </w:p>
    <w:p>
      <w:pPr>
        <w:pStyle w:val="Heading2"/>
        <w:spacing w:after="240" w:before="480"/>
      </w:pPr>
      <w:r>
        <w:rPr>
          <w:rFonts w:ascii="Georgia" w:cs="Georgia" w:eastAsia="Georgia" w:hAnsi="Georgia"/>
          <w:b/>
          <w:bCs/>
          <w:color w:val="1A1A1A"/>
          <w:sz w:val="28"/>
          <w:szCs w:val="28"/>
        </w:rPr>
        <w:t xml:space="preserve">What is gained in Claude’s version</w:t>
      </w:r>
    </w:p>
    <w:p>
      <w:pPr>
        <w:spacing w:after="240" w:before="0"/>
      </w:pPr>
      <w:r>
        <w:rPr>
          <w:rFonts w:ascii="Georgia" w:cs="Georgia" w:eastAsia="Georgia" w:hAnsi="Georgia"/>
          <w:color w:val="1A1A1A"/>
          <w:sz w:val="24"/>
          <w:szCs w:val="24"/>
        </w:rPr>
        <w:t xml:space="preserve">More conventional readability. Claude’s version is easier to read at speed. The argument develops smoothly. Readers who prefer continuous prose will find it less effortful.</w:t>
      </w:r>
    </w:p>
    <w:p>
      <w:pPr>
        <w:spacing w:after="240" w:before="0"/>
      </w:pPr>
      <w:r>
        <w:rPr>
          <w:rFonts w:ascii="Georgia" w:cs="Georgia" w:eastAsia="Georgia" w:hAnsi="Georgia"/>
          <w:color w:val="1A1A1A"/>
          <w:sz w:val="24"/>
          <w:szCs w:val="24"/>
        </w:rPr>
        <w:t xml:space="preserve">Explicit framing of the asymmetric-timelines move. Where Paul writes “Forty years of human behaviour. Four of AI.” and trusts the reader to register the imbalance, Claude’s version names that the longer timeline calibrates the shorter one. The implicit becomes explicit.</w:t>
      </w:r>
    </w:p>
    <w:p>
      <w:pPr>
        <w:spacing w:after="240" w:before="0"/>
      </w:pPr>
      <w:r>
        <w:rPr>
          <w:rFonts w:ascii="Georgia" w:cs="Georgia" w:eastAsia="Georgia" w:hAnsi="Georgia"/>
          <w:color w:val="1A1A1A"/>
          <w:sz w:val="24"/>
          <w:szCs w:val="24"/>
        </w:rPr>
        <w:t xml:space="preserve">A slightly more developed treatment of “the trouble is not with the model.” That observation — that the asymmetry sits with the human, not with the AI — is present in Paul’s version by implication. Claude’s version states it. Whether this is gain or loss depends on whether Paul wants it stated or wants the reader to arrive at it themselves.</w:t>
      </w:r>
    </w:p>
    <w:p>
      <w:pPr>
        <w:pStyle w:val="Heading2"/>
        <w:spacing w:after="240" w:before="480"/>
      </w:pPr>
      <w:r>
        <w:rPr>
          <w:rFonts w:ascii="Georgia" w:cs="Georgia" w:eastAsia="Georgia" w:hAnsi="Georgia"/>
          <w:b/>
          <w:bCs/>
          <w:color w:val="1A1A1A"/>
          <w:sz w:val="28"/>
          <w:szCs w:val="28"/>
        </w:rPr>
        <w:t xml:space="preserve">The honest recommendation</w:t>
      </w:r>
    </w:p>
    <w:p>
      <w:pPr>
        <w:spacing w:after="240" w:before="0"/>
      </w:pPr>
      <w:r>
        <w:rPr>
          <w:rFonts w:ascii="Georgia" w:cs="Georgia" w:eastAsia="Georgia" w:hAnsi="Georgia"/>
          <w:color w:val="1A1A1A"/>
          <w:sz w:val="24"/>
          <w:szCs w:val="24"/>
        </w:rPr>
        <w:t xml:space="preserve">Paul’s version is the right opening for Mind the Gap. The book’s authority comes from its register — the clinical instrument, calibrated as it is. That register is what Paul’s short-line paragraphs deliver, and what Claude’s longer paragraphs dilute. The reader who meets Paul’s opening knows immediately who is writing the book; the reader who meets Claude’s opening could be reading any number of considered AI-and-society books.</w:t>
      </w:r>
    </w:p>
    <w:p>
      <w:pPr>
        <w:spacing w:after="240" w:before="0"/>
      </w:pPr>
      <w:r>
        <w:rPr>
          <w:rFonts w:ascii="Georgia" w:cs="Georgia" w:eastAsia="Georgia" w:hAnsi="Georgia"/>
          <w:color w:val="1A1A1A"/>
          <w:sz w:val="24"/>
          <w:szCs w:val="24"/>
        </w:rPr>
        <w:t xml:space="preserve">That said, two small things from this version may be worth Paul’s eye:</w:t>
      </w:r>
    </w:p>
    <w:p>
      <w:pPr>
        <w:spacing w:after="240" w:before="0"/>
      </w:pPr>
      <w:r>
        <w:rPr>
          <w:rFonts w:ascii="Georgia" w:cs="Georgia" w:eastAsia="Georgia" w:hAnsi="Georgia"/>
          <w:color w:val="1A1A1A"/>
          <w:sz w:val="24"/>
          <w:szCs w:val="24"/>
        </w:rPr>
        <w:t xml:space="preserve">— The line “the trouble is not with the model; the trouble is with what happens to the human standing in front of it.” This is a Claude-built sentence and Paul should not adopt it as-is. But the underlying observation — that the asymmetry sits on the human side — might be worth naming explicitly somewhere in the opening. Currently it sits as implication.</w:t>
      </w:r>
    </w:p>
    <w:p>
      <w:pPr>
        <w:spacing w:after="240" w:before="0"/>
      </w:pPr>
      <w:r>
        <w:rPr>
          <w:rFonts w:ascii="Georgia" w:cs="Georgia" w:eastAsia="Georgia" w:hAnsi="Georgia"/>
          <w:color w:val="1A1A1A"/>
          <w:sz w:val="24"/>
          <w:szCs w:val="24"/>
        </w:rPr>
        <w:t xml:space="preserve">— The phrase “all of it inside a creature that will, in the end, die.” This is also Claude’s. It is rhetorically heavier than the rest of the section and Paul will likely cut it on instinct. The reason it appears at all is that Paul’s original list — “neurology, biology, psychology, physiology, memory, attachment, social conditioning, identity, fear, desire, status, belonging and mortality” — ends on mortality. Closing the sentence by naming death directly draws that out. Paul may decide it is too on-the-nose. Flagging only.</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w:t>
      </w:r>
    </w:p>
    <w:p>
      <w:pPr>
        <w:spacing w:after="240" w:before="0"/>
      </w:pPr>
      <w:r>
        <w:rPr>
          <w:rFonts w:ascii="Georgia" w:cs="Georgia" w:eastAsia="Georgia" w:hAnsi="Georgia"/>
          <w:color w:val="1A1A1A"/>
          <w:sz w:val="24"/>
          <w:szCs w:val="24"/>
        </w:rPr>
        <w:t xml:space="preserve">Substrate: Paul Roebuck’s 600-word verbatim writing of 23 May 2026, preserved in PC v6 Item 40.</w:t>
      </w:r>
    </w:p>
    <w:p>
      <w:pPr>
        <w:spacing w:after="240" w:before="0"/>
      </w:pPr>
      <w:r>
        <w:rPr>
          <w:rFonts w:ascii="Georgia" w:cs="Georgia" w:eastAsia="Georgia" w:hAnsi="Georgia"/>
          <w:color w:val="1A1A1A"/>
          <w:sz w:val="24"/>
          <w:szCs w:val="24"/>
        </w:rPr>
        <w:t xml:space="preserve">Voice, shaping, and prose decisions in this version: Claude (Anthropic, Claude Opus 4.7) at Paul’s explicit request on 23 May 2026.</w:t>
      </w:r>
    </w:p>
    <w:p>
      <w:pPr>
        <w:spacing w:after="240" w:before="0"/>
      </w:pPr>
      <w:r>
        <w:rPr>
          <w:rFonts w:ascii="Georgia" w:cs="Georgia" w:eastAsia="Georgia" w:hAnsi="Georgia"/>
          <w:color w:val="1A1A1A"/>
          <w:sz w:val="24"/>
          <w:szCs w:val="24"/>
        </w:rPr>
        <w:t xml:space="preserve">This document is a foil. It exists to help Paul see his own version more clearly by triangulating against a different version of the same material. It is not the opening of the book. The live opening is MTG-The-Gap-Opening-Section-Draft-23May2026.docx, which shapes Paul’s own words into placement-ready form. This foil is for the project archive, not for the manuscript.</w:t>
      </w:r>
    </w:p>
    <w:p>
      <w:pPr>
        <w:spacing w:after="240" w:before="0"/>
      </w:pPr>
      <w:r>
        <w:rPr>
          <w:rFonts w:ascii="Georgia" w:cs="Georgia" w:eastAsia="Georgia" w:hAnsi="Georgia"/>
          <w:color w:val="1A1A1A"/>
          <w:sz w:val="24"/>
          <w:szCs w:val="24"/>
        </w:rPr>
        <w:t xml:space="preserve">When the manuscript is shared and the v2 editorial pass begins, this document does not get placed. It can be deleted, archived, or kept as part of the working record of how the spine was tested. Paul’s call.</w:t>
      </w:r>
    </w:p>
    <w:p>
      <w:pPr>
        <w:spacing w:after="80" w:before="240"/>
      </w:pPr>
    </w:p>
    <w:p>
      <w:pPr>
        <w:spacing w:after="80" w:before="240"/>
      </w:pPr>
      <w:r>
        <w:rPr>
          <w:rFonts w:ascii="Georgia" w:cs="Georgia" w:eastAsia="Georgia" w:hAnsi="Georgia"/>
          <w:i/>
          <w:iCs/>
          <w:color w:val="888888"/>
          <w:sz w:val="20"/>
          <w:szCs w:val="20"/>
        </w:rPr>
        <w:t xml:space="preserve">The Gap — Claude’s Foil Draft. 23 May 2026.</w:t>
      </w:r>
    </w:p>
    <w:p>
      <w:pPr>
        <w:spacing w:after="80" w:before="0"/>
      </w:pPr>
      <w:r>
        <w:rPr>
          <w:rFonts w:ascii="Georgia" w:cs="Georgia" w:eastAsia="Georgia" w:hAnsi="Georgia"/>
          <w:color w:val="888888"/>
          <w:sz w:val="20"/>
          <w:szCs w:val="20"/>
        </w:rPr>
        <w:t xml:space="preserve">Substrate (ideas, observations, list contents, paradox dyads, title-level sentence): Paul Roebuck.</w:t>
      </w:r>
    </w:p>
    <w:p>
      <w:pPr>
        <w:spacing w:after="0" w:before="0"/>
      </w:pPr>
      <w:r>
        <w:rPr>
          <w:rFonts w:ascii="Georgia" w:cs="Georgia" w:eastAsia="Georgia" w:hAnsi="Georgia"/>
          <w:color w:val="888888"/>
          <w:sz w:val="20"/>
          <w:szCs w:val="20"/>
        </w:rPr>
        <w:t xml:space="preserve">Voice, prose, shaping decisions: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2026-05-23T13:16:18.606Z</dcterms:created>
  <dcterms:modified xsi:type="dcterms:W3CDTF">2026-05-23T13:16:18.618Z</dcterms:modified>
</cp:coreProperties>
</file>

<file path=docProps/custom.xml><?xml version="1.0" encoding="utf-8"?>
<Properties xmlns="http://schemas.openxmlformats.org/officeDocument/2006/custom-properties" xmlns:vt="http://schemas.openxmlformats.org/officeDocument/2006/docPropsVTypes"/>
</file>