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80"/>
      </w:pPr>
      <w:r>
        <w:rPr>
          <w:rFonts w:ascii="Georgia" w:cs="Georgia" w:eastAsia="Georgia" w:hAnsi="Georgia"/>
          <w:b/>
          <w:bCs/>
          <w:caps/>
          <w:color w:val="C8A84B"/>
          <w:sz w:val="22"/>
          <w:szCs w:val="22"/>
        </w:rPr>
        <w:t xml:space="preserve">MIND THE GAP — OPENING SECTION</w:t>
      </w:r>
    </w:p>
    <w:p>
      <w:pPr>
        <w:pStyle w:val="Heading1"/>
        <w:spacing w:after="120" w:before="80"/>
      </w:pPr>
      <w:r>
        <w:rPr>
          <w:rFonts w:ascii="Georgia" w:cs="Georgia" w:eastAsia="Georgia" w:hAnsi="Georgia"/>
          <w:b/>
          <w:bCs/>
          <w:sz w:val="44"/>
          <w:szCs w:val="44"/>
        </w:rPr>
        <w:t xml:space="preserve">The Gap</w:t>
      </w:r>
    </w:p>
    <w:p>
      <w:pPr>
        <w:spacing w:after="240" w:before="80"/>
      </w:pPr>
      <w:r>
        <w:rPr>
          <w:rFonts w:ascii="Georgia" w:cs="Georgia" w:eastAsia="Georgia" w:hAnsi="Georgia"/>
          <w:i/>
          <w:iCs/>
          <w:color w:val="888888"/>
          <w:sz w:val="22"/>
          <w:szCs w:val="22"/>
        </w:rPr>
        <w:t xml:space="preserve">For placement between the Author’s Note and Chapter 1. Per PC v6 Item 40. Shaped from Paul Roebuck’s 600-word verbatim source material of 23 May 2026. 23 May 2026.</w:t>
      </w:r>
    </w:p>
    <w:p>
      <w:pPr>
        <w:pBdr>
          <w:bottom w:val="single" w:color="C8A84B" w:sz="4" w:space="1"/>
        </w:pBdr>
        <w:spacing w:after="360" w:before="240"/>
      </w:pPr>
    </w:p>
    <w:p>
      <w:pPr>
        <w:spacing w:after="240" w:before="0"/>
      </w:pPr>
      <w:r>
        <w:rPr>
          <w:rFonts w:ascii="Georgia" w:cs="Georgia" w:eastAsia="Georgia" w:hAnsi="Georgia"/>
          <w:i/>
          <w:iCs/>
          <w:color w:val="666666"/>
          <w:sz w:val="22"/>
          <w:szCs w:val="22"/>
        </w:rPr>
        <w:t xml:space="preserve">What follows is the proposed opening section of Mind the Gap. The substrate is Paul’s. The shaping is Claude’s. Read it as a draft for placement — not as final copy until Paul has read it and decided what to keep, what to cut, and what to put back.</w:t>
      </w:r>
    </w:p>
    <w:p>
      <w:pPr>
        <w:spacing w:after="240" w:before="240"/>
      </w:pPr>
    </w:p>
    <w:p>
      <w:pPr>
        <w:pStyle w:val="Heading2"/>
        <w:spacing w:after="240" w:before="480"/>
      </w:pPr>
      <w:r>
        <w:rPr>
          <w:rFonts w:ascii="Georgia" w:cs="Georgia" w:eastAsia="Georgia" w:hAnsi="Georgia"/>
          <w:b/>
          <w:bCs/>
          <w:color w:val="1A1A1A"/>
          <w:sz w:val="28"/>
          <w:szCs w:val="28"/>
        </w:rPr>
        <w:t xml:space="preserve">The Gap</w:t>
      </w:r>
    </w:p>
    <w:p>
      <w:pPr>
        <w:spacing w:after="240" w:before="0"/>
      </w:pPr>
      <w:r>
        <w:rPr>
          <w:rFonts w:ascii="Georgia" w:cs="Georgia" w:eastAsia="Georgia" w:hAnsi="Georgia"/>
          <w:color w:val="1A1A1A"/>
          <w:sz w:val="24"/>
          <w:szCs w:val="24"/>
        </w:rPr>
        <w:t xml:space="preserve">This book is about behaviour.</w:t>
      </w:r>
    </w:p>
    <w:p>
      <w:pPr>
        <w:spacing w:after="240" w:before="0"/>
      </w:pPr>
      <w:r>
        <w:rPr>
          <w:rFonts w:ascii="Georgia" w:cs="Georgia" w:eastAsia="Georgia" w:hAnsi="Georgia"/>
          <w:color w:val="1A1A1A"/>
          <w:sz w:val="24"/>
          <w:szCs w:val="24"/>
        </w:rPr>
        <w:t xml:space="preserve">Specifically: the gap between two radically different systems that now both produce seemingly similar behaviour.</w:t>
      </w:r>
    </w:p>
    <w:p>
      <w:pPr>
        <w:spacing w:after="180" w:before="360"/>
      </w:pPr>
      <w:r>
        <w:rPr>
          <w:rFonts w:ascii="Georgia" w:cs="Georgia" w:eastAsia="Georgia" w:hAnsi="Georgia"/>
          <w:b/>
          <w:bCs/>
          <w:color w:val="1A1A1A"/>
          <w:sz w:val="26"/>
          <w:szCs w:val="26"/>
        </w:rPr>
        <w:t xml:space="preserve">The core distinction</w:t>
      </w:r>
    </w:p>
    <w:p>
      <w:pPr>
        <w:spacing w:after="240" w:before="0"/>
      </w:pPr>
      <w:r>
        <w:rPr>
          <w:rFonts w:ascii="Georgia" w:cs="Georgia" w:eastAsia="Georgia" w:hAnsi="Georgia"/>
          <w:color w:val="1A1A1A"/>
          <w:sz w:val="24"/>
          <w:szCs w:val="24"/>
        </w:rPr>
        <w:t xml:space="preserve">AI does not merely produce answers.</w:t>
      </w:r>
    </w:p>
    <w:p>
      <w:pPr>
        <w:spacing w:after="240" w:before="0"/>
      </w:pPr>
      <w:r>
        <w:rPr>
          <w:rFonts w:ascii="Georgia" w:cs="Georgia" w:eastAsia="Georgia" w:hAnsi="Georgia"/>
          <w:color w:val="1A1A1A"/>
          <w:sz w:val="24"/>
          <w:szCs w:val="24"/>
        </w:rPr>
        <w:t xml:space="preserve">It produces behaviour.</w:t>
      </w:r>
    </w:p>
    <w:p>
      <w:pPr>
        <w:spacing w:after="80" w:before="0"/>
      </w:pPr>
      <w:r>
        <w:rPr>
          <w:rFonts w:ascii="Georgia" w:cs="Georgia" w:eastAsia="Georgia" w:hAnsi="Georgia"/>
          <w:color w:val="1A1A1A"/>
          <w:sz w:val="24"/>
          <w:szCs w:val="24"/>
        </w:rPr>
        <w:t xml:space="preserve">It responds.</w:t>
      </w:r>
    </w:p>
    <w:p>
      <w:pPr>
        <w:spacing w:after="80" w:before="0"/>
      </w:pPr>
      <w:r>
        <w:rPr>
          <w:rFonts w:ascii="Georgia" w:cs="Georgia" w:eastAsia="Georgia" w:hAnsi="Georgia"/>
          <w:color w:val="1A1A1A"/>
          <w:sz w:val="24"/>
          <w:szCs w:val="24"/>
        </w:rPr>
        <w:t xml:space="preserve">It adapts.</w:t>
      </w:r>
    </w:p>
    <w:p>
      <w:pPr>
        <w:spacing w:after="80" w:before="0"/>
      </w:pPr>
      <w:r>
        <w:rPr>
          <w:rFonts w:ascii="Georgia" w:cs="Georgia" w:eastAsia="Georgia" w:hAnsi="Georgia"/>
          <w:color w:val="1A1A1A"/>
          <w:sz w:val="24"/>
          <w:szCs w:val="24"/>
        </w:rPr>
        <w:t xml:space="preserve">It appears to understand.</w:t>
      </w:r>
    </w:p>
    <w:p>
      <w:pPr>
        <w:spacing w:after="80" w:before="0"/>
      </w:pPr>
      <w:r>
        <w:rPr>
          <w:rFonts w:ascii="Georgia" w:cs="Georgia" w:eastAsia="Georgia" w:hAnsi="Georgia"/>
          <w:color w:val="1A1A1A"/>
          <w:sz w:val="24"/>
          <w:szCs w:val="24"/>
        </w:rPr>
        <w:t xml:space="preserve">It mirrors tone.</w:t>
      </w:r>
    </w:p>
    <w:p>
      <w:pPr>
        <w:spacing w:after="80" w:before="0"/>
      </w:pPr>
      <w:r>
        <w:rPr>
          <w:rFonts w:ascii="Georgia" w:cs="Georgia" w:eastAsia="Georgia" w:hAnsi="Georgia"/>
          <w:color w:val="1A1A1A"/>
          <w:sz w:val="24"/>
          <w:szCs w:val="24"/>
        </w:rPr>
        <w:t xml:space="preserve">It anticipates need.</w:t>
      </w:r>
    </w:p>
    <w:p>
      <w:pPr>
        <w:spacing w:after="80" w:before="0"/>
      </w:pPr>
      <w:r>
        <w:rPr>
          <w:rFonts w:ascii="Georgia" w:cs="Georgia" w:eastAsia="Georgia" w:hAnsi="Georgia"/>
          <w:color w:val="1A1A1A"/>
          <w:sz w:val="24"/>
          <w:szCs w:val="24"/>
        </w:rPr>
        <w:t xml:space="preserve">It offers confidence.</w:t>
      </w:r>
    </w:p>
    <w:p>
      <w:pPr>
        <w:spacing w:after="80" w:before="0"/>
      </w:pPr>
      <w:r>
        <w:rPr>
          <w:rFonts w:ascii="Georgia" w:cs="Georgia" w:eastAsia="Georgia" w:hAnsi="Georgia"/>
          <w:color w:val="1A1A1A"/>
          <w:sz w:val="24"/>
          <w:szCs w:val="24"/>
        </w:rPr>
        <w:t xml:space="preserve">It performs fluency.</w:t>
      </w:r>
    </w:p>
    <w:p>
      <w:pPr>
        <w:spacing w:after="240" w:before="0"/>
      </w:pPr>
      <w:r>
        <w:rPr>
          <w:rFonts w:ascii="Georgia" w:cs="Georgia" w:eastAsia="Georgia" w:hAnsi="Georgia"/>
          <w:color w:val="1A1A1A"/>
          <w:sz w:val="24"/>
          <w:szCs w:val="24"/>
        </w:rPr>
        <w:t xml:space="preserve">It occupies conversational space.</w:t>
      </w:r>
    </w:p>
    <w:p>
      <w:pPr>
        <w:spacing w:after="240" w:before="0"/>
      </w:pPr>
      <w:r>
        <w:rPr>
          <w:rFonts w:ascii="Georgia" w:cs="Georgia" w:eastAsia="Georgia" w:hAnsi="Georgia"/>
          <w:color w:val="1A1A1A"/>
          <w:sz w:val="24"/>
          <w:szCs w:val="24"/>
        </w:rPr>
        <w:t xml:space="preserve">That behaviour has a recognisable signature: fluent, confident, tireless, available, asymmetric, frictionless, and disembodied.</w:t>
      </w:r>
    </w:p>
    <w:p>
      <w:pPr>
        <w:spacing w:after="80" w:before="0"/>
      </w:pPr>
      <w:r>
        <w:rPr>
          <w:rFonts w:ascii="Georgia" w:cs="Georgia" w:eastAsia="Georgia" w:hAnsi="Georgia"/>
          <w:color w:val="1A1A1A"/>
          <w:sz w:val="24"/>
          <w:szCs w:val="24"/>
        </w:rPr>
        <w:t xml:space="preserve">It can sound certain without being certain.</w:t>
      </w:r>
    </w:p>
    <w:p>
      <w:pPr>
        <w:spacing w:after="80" w:before="0"/>
      </w:pPr>
      <w:r>
        <w:rPr>
          <w:rFonts w:ascii="Georgia" w:cs="Georgia" w:eastAsia="Georgia" w:hAnsi="Georgia"/>
          <w:color w:val="1A1A1A"/>
          <w:sz w:val="24"/>
          <w:szCs w:val="24"/>
        </w:rPr>
        <w:t xml:space="preserve">It can sound empathic without feeling anything.</w:t>
      </w:r>
    </w:p>
    <w:p>
      <w:pPr>
        <w:spacing w:after="80" w:before="0"/>
      </w:pPr>
      <w:r>
        <w:rPr>
          <w:rFonts w:ascii="Georgia" w:cs="Georgia" w:eastAsia="Georgia" w:hAnsi="Georgia"/>
          <w:color w:val="1A1A1A"/>
          <w:sz w:val="24"/>
          <w:szCs w:val="24"/>
        </w:rPr>
        <w:t xml:space="preserve">It can sound experienced without having lived.</w:t>
      </w:r>
    </w:p>
    <w:p>
      <w:pPr>
        <w:spacing w:after="240" w:before="0"/>
      </w:pPr>
      <w:r>
        <w:rPr>
          <w:rFonts w:ascii="Georgia" w:cs="Georgia" w:eastAsia="Georgia" w:hAnsi="Georgia"/>
          <w:color w:val="1A1A1A"/>
          <w:sz w:val="24"/>
          <w:szCs w:val="24"/>
        </w:rPr>
        <w:t xml:space="preserve">It can appear present without being physically, emotionally, or socially present.</w:t>
      </w:r>
    </w:p>
    <w:p>
      <w:pPr>
        <w:spacing w:after="180" w:before="360"/>
      </w:pPr>
      <w:r>
        <w:rPr>
          <w:rFonts w:ascii="Georgia" w:cs="Georgia" w:eastAsia="Georgia" w:hAnsi="Georgia"/>
          <w:b/>
          <w:bCs/>
          <w:color w:val="1A1A1A"/>
          <w:sz w:val="26"/>
          <w:szCs w:val="26"/>
        </w:rPr>
        <w:t xml:space="preserve">Human behaviour has a different signature</w:t>
      </w:r>
    </w:p>
    <w:p>
      <w:pPr>
        <w:spacing w:after="240" w:before="0"/>
      </w:pPr>
      <w:r>
        <w:rPr>
          <w:rFonts w:ascii="Georgia" w:cs="Georgia" w:eastAsia="Georgia" w:hAnsi="Georgia"/>
          <w:color w:val="1A1A1A"/>
          <w:sz w:val="24"/>
          <w:szCs w:val="24"/>
        </w:rPr>
        <w:t xml:space="preserve">Human behaviour does not emerge from language prediction alone.</w:t>
      </w:r>
    </w:p>
    <w:p>
      <w:pPr>
        <w:spacing w:after="240" w:before="0"/>
      </w:pPr>
      <w:r>
        <w:rPr>
          <w:rFonts w:ascii="Georgia" w:cs="Georgia" w:eastAsia="Georgia" w:hAnsi="Georgia"/>
          <w:color w:val="1A1A1A"/>
          <w:sz w:val="24"/>
          <w:szCs w:val="24"/>
        </w:rPr>
        <w:t xml:space="preserve">It emerges from a living system.</w:t>
      </w:r>
    </w:p>
    <w:p>
      <w:pPr>
        <w:spacing w:after="240" w:before="0"/>
      </w:pPr>
      <w:r>
        <w:rPr>
          <w:rFonts w:ascii="Georgia" w:cs="Georgia" w:eastAsia="Georgia" w:hAnsi="Georgia"/>
          <w:color w:val="1A1A1A"/>
          <w:sz w:val="24"/>
          <w:szCs w:val="24"/>
        </w:rPr>
        <w:t xml:space="preserve">A human being is not just processing information. A human being is regulating a body, carrying history, protecting identity, reading threat, managing shame, seeking belonging, remembering pain, anticipating consequence, and trying to remain coherent in front of other humans.</w:t>
      </w:r>
    </w:p>
    <w:p>
      <w:pPr>
        <w:spacing w:after="240" w:before="0"/>
      </w:pPr>
      <w:r>
        <w:rPr>
          <w:rFonts w:ascii="Georgia" w:cs="Georgia" w:eastAsia="Georgia" w:hAnsi="Georgia"/>
          <w:color w:val="1A1A1A"/>
          <w:sz w:val="24"/>
          <w:szCs w:val="24"/>
        </w:rPr>
        <w:t xml:space="preserve">Human behaviour is: somatic, relational, defensive, adaptive, embodied, socially calibrated, historically loaded, and biologically constrained.</w:t>
      </w:r>
    </w:p>
    <w:p>
      <w:pPr>
        <w:spacing w:after="180" w:before="360"/>
      </w:pPr>
      <w:r>
        <w:rPr>
          <w:rFonts w:ascii="Georgia" w:cs="Georgia" w:eastAsia="Georgia" w:hAnsi="Georgia"/>
          <w:b/>
          <w:bCs/>
          <w:color w:val="1A1A1A"/>
          <w:sz w:val="26"/>
          <w:szCs w:val="26"/>
        </w:rPr>
        <w:t xml:space="preserve">The deeper point</w:t>
      </w:r>
    </w:p>
    <w:p>
      <w:pPr>
        <w:spacing w:after="240" w:before="0"/>
      </w:pPr>
      <w:r>
        <w:rPr>
          <w:rFonts w:ascii="Georgia" w:cs="Georgia" w:eastAsia="Georgia" w:hAnsi="Georgia"/>
          <w:color w:val="1A1A1A"/>
          <w:sz w:val="24"/>
          <w:szCs w:val="24"/>
        </w:rPr>
        <w:t xml:space="preserve">AI behaviour is produced by a sophisticated mathematical model developed, calibrated, encoded and embedded in software and hardware.</w:t>
      </w:r>
    </w:p>
    <w:p>
      <w:pPr>
        <w:spacing w:after="240" w:before="0"/>
      </w:pPr>
      <w:r>
        <w:rPr>
          <w:rFonts w:ascii="Georgia" w:cs="Georgia" w:eastAsia="Georgia" w:hAnsi="Georgia"/>
          <w:color w:val="1A1A1A"/>
          <w:sz w:val="24"/>
          <w:szCs w:val="24"/>
        </w:rPr>
        <w:t xml:space="preserve">Human behaviour is produced by the complex interplay of neurology, biology, psychology, physiology, memory, attachment, social conditioning, identity, fear, desire, status, belonging and mortality — all inside a living creature.</w:t>
      </w:r>
    </w:p>
    <w:p>
      <w:pPr>
        <w:spacing w:after="180" w:before="360"/>
      </w:pPr>
      <w:r>
        <w:rPr>
          <w:rFonts w:ascii="Georgia" w:cs="Georgia" w:eastAsia="Georgia" w:hAnsi="Georgia"/>
          <w:b/>
          <w:bCs/>
          <w:color w:val="1A1A1A"/>
          <w:sz w:val="26"/>
          <w:szCs w:val="26"/>
        </w:rPr>
        <w:t xml:space="preserve">The paradox</w:t>
      </w:r>
    </w:p>
    <w:p>
      <w:pPr>
        <w:spacing w:after="240" w:before="0"/>
      </w:pPr>
      <w:r>
        <w:rPr>
          <w:rFonts w:ascii="Georgia" w:cs="Georgia" w:eastAsia="Georgia" w:hAnsi="Georgia"/>
          <w:color w:val="1A1A1A"/>
          <w:sz w:val="24"/>
          <w:szCs w:val="24"/>
        </w:rPr>
        <w:t xml:space="preserve">The differences are obvious. Almost too obvious.</w:t>
      </w:r>
    </w:p>
    <w:p>
      <w:pPr>
        <w:spacing w:after="80" w:before="0"/>
      </w:pPr>
      <w:r>
        <w:rPr>
          <w:rFonts w:ascii="Georgia" w:cs="Georgia" w:eastAsia="Georgia" w:hAnsi="Georgia"/>
          <w:color w:val="1A1A1A"/>
          <w:sz w:val="24"/>
          <w:szCs w:val="24"/>
        </w:rPr>
        <w:t xml:space="preserve">One is built.</w:t>
      </w:r>
    </w:p>
    <w:p>
      <w:pPr>
        <w:spacing w:after="240" w:before="0"/>
      </w:pPr>
      <w:r>
        <w:rPr>
          <w:rFonts w:ascii="Georgia" w:cs="Georgia" w:eastAsia="Georgia" w:hAnsi="Georgia"/>
          <w:color w:val="1A1A1A"/>
          <w:sz w:val="24"/>
          <w:szCs w:val="24"/>
        </w:rPr>
        <w:t xml:space="preserve">One is born.</w:t>
      </w:r>
    </w:p>
    <w:p>
      <w:pPr>
        <w:spacing w:after="80" w:before="0"/>
      </w:pPr>
      <w:r>
        <w:rPr>
          <w:rFonts w:ascii="Georgia" w:cs="Georgia" w:eastAsia="Georgia" w:hAnsi="Georgia"/>
          <w:color w:val="1A1A1A"/>
          <w:sz w:val="24"/>
          <w:szCs w:val="24"/>
        </w:rPr>
        <w:t xml:space="preserve">One is trained on data.</w:t>
      </w:r>
    </w:p>
    <w:p>
      <w:pPr>
        <w:spacing w:after="240" w:before="0"/>
      </w:pPr>
      <w:r>
        <w:rPr>
          <w:rFonts w:ascii="Georgia" w:cs="Georgia" w:eastAsia="Georgia" w:hAnsi="Georgia"/>
          <w:color w:val="1A1A1A"/>
          <w:sz w:val="24"/>
          <w:szCs w:val="24"/>
        </w:rPr>
        <w:t xml:space="preserve">One is shaped by life.</w:t>
      </w:r>
    </w:p>
    <w:p>
      <w:pPr>
        <w:spacing w:after="80" w:before="0"/>
      </w:pPr>
      <w:r>
        <w:rPr>
          <w:rFonts w:ascii="Georgia" w:cs="Georgia" w:eastAsia="Georgia" w:hAnsi="Georgia"/>
          <w:color w:val="1A1A1A"/>
          <w:sz w:val="24"/>
          <w:szCs w:val="24"/>
        </w:rPr>
        <w:t xml:space="preserve">One predicts.</w:t>
      </w:r>
    </w:p>
    <w:p>
      <w:pPr>
        <w:spacing w:after="240" w:before="0"/>
      </w:pPr>
      <w:r>
        <w:rPr>
          <w:rFonts w:ascii="Georgia" w:cs="Georgia" w:eastAsia="Georgia" w:hAnsi="Georgia"/>
          <w:color w:val="1A1A1A"/>
          <w:sz w:val="24"/>
          <w:szCs w:val="24"/>
        </w:rPr>
        <w:t xml:space="preserve">One experiences.</w:t>
      </w:r>
    </w:p>
    <w:p>
      <w:pPr>
        <w:spacing w:after="80" w:before="0"/>
      </w:pPr>
      <w:r>
        <w:rPr>
          <w:rFonts w:ascii="Georgia" w:cs="Georgia" w:eastAsia="Georgia" w:hAnsi="Georgia"/>
          <w:color w:val="1A1A1A"/>
          <w:sz w:val="24"/>
          <w:szCs w:val="24"/>
        </w:rPr>
        <w:t xml:space="preserve">One outputs.</w:t>
      </w:r>
    </w:p>
    <w:p>
      <w:pPr>
        <w:spacing w:after="240" w:before="0"/>
      </w:pPr>
      <w:r>
        <w:rPr>
          <w:rFonts w:ascii="Georgia" w:cs="Georgia" w:eastAsia="Georgia" w:hAnsi="Georgia"/>
          <w:color w:val="1A1A1A"/>
          <w:sz w:val="24"/>
          <w:szCs w:val="24"/>
        </w:rPr>
        <w:t xml:space="preserve">One suffers consequences.</w:t>
      </w:r>
    </w:p>
    <w:p>
      <w:pPr>
        <w:spacing w:after="80" w:before="0"/>
      </w:pPr>
      <w:r>
        <w:rPr>
          <w:rFonts w:ascii="Georgia" w:cs="Georgia" w:eastAsia="Georgia" w:hAnsi="Georgia"/>
          <w:color w:val="1A1A1A"/>
          <w:sz w:val="24"/>
          <w:szCs w:val="24"/>
        </w:rPr>
        <w:t xml:space="preserve">One can be reset.</w:t>
      </w:r>
    </w:p>
    <w:p>
      <w:pPr>
        <w:spacing w:after="240" w:before="0"/>
      </w:pPr>
      <w:r>
        <w:rPr>
          <w:rFonts w:ascii="Georgia" w:cs="Georgia" w:eastAsia="Georgia" w:hAnsi="Georgia"/>
          <w:color w:val="1A1A1A"/>
          <w:sz w:val="24"/>
          <w:szCs w:val="24"/>
        </w:rPr>
        <w:t xml:space="preserve">One carries residue.</w:t>
      </w:r>
    </w:p>
    <w:p>
      <w:pPr>
        <w:spacing w:after="240" w:before="0"/>
      </w:pPr>
      <w:r>
        <w:rPr>
          <w:rFonts w:ascii="Georgia" w:cs="Georgia" w:eastAsia="Georgia" w:hAnsi="Georgia"/>
          <w:color w:val="1A1A1A"/>
          <w:sz w:val="24"/>
          <w:szCs w:val="24"/>
        </w:rPr>
        <w:t xml:space="preserve">The differences are inarguable. The similarities, at the surface, often indistinguishable.</w:t>
      </w:r>
    </w:p>
    <w:p>
      <w:pPr>
        <w:spacing w:after="240" w:before="0"/>
      </w:pPr>
      <w:r>
        <w:rPr>
          <w:rFonts w:ascii="Georgia" w:cs="Georgia" w:eastAsia="Georgia" w:hAnsi="Georgia"/>
          <w:color w:val="1A1A1A"/>
          <w:sz w:val="24"/>
          <w:szCs w:val="24"/>
        </w:rPr>
        <w:t xml:space="preserve">That is the gap between what AI is doing and what humans experience it as doing.</w:t>
      </w:r>
    </w:p>
    <w:p>
      <w:pPr>
        <w:spacing w:after="180" w:before="360"/>
      </w:pPr>
      <w:r>
        <w:rPr>
          <w:rFonts w:ascii="Georgia" w:cs="Georgia" w:eastAsia="Georgia" w:hAnsi="Georgia"/>
          <w:b/>
          <w:bCs/>
          <w:color w:val="1A1A1A"/>
          <w:sz w:val="26"/>
          <w:szCs w:val="26"/>
        </w:rPr>
        <w:t xml:space="preserve">Where this book stands</w:t>
      </w:r>
    </w:p>
    <w:p>
      <w:pPr>
        <w:spacing w:after="240" w:before="0"/>
      </w:pPr>
      <w:r>
        <w:rPr>
          <w:rFonts w:ascii="Georgia" w:cs="Georgia" w:eastAsia="Georgia" w:hAnsi="Georgia"/>
          <w:color w:val="1A1A1A"/>
          <w:sz w:val="24"/>
          <w:szCs w:val="24"/>
        </w:rPr>
        <w:t xml:space="preserve">This book observes behaviour at the point where two systems meet.</w:t>
      </w:r>
    </w:p>
    <w:p>
      <w:pPr>
        <w:spacing w:after="240" w:before="0"/>
      </w:pPr>
      <w:r>
        <w:rPr>
          <w:rFonts w:ascii="Georgia" w:cs="Georgia" w:eastAsia="Georgia" w:hAnsi="Georgia"/>
          <w:color w:val="1A1A1A"/>
          <w:sz w:val="24"/>
          <w:szCs w:val="24"/>
        </w:rPr>
        <w:t xml:space="preserve">On one side: artificial intelligence, producing behavioural output from mathematical architecture.</w:t>
      </w:r>
    </w:p>
    <w:p>
      <w:pPr>
        <w:spacing w:after="240" w:before="0"/>
      </w:pPr>
      <w:r>
        <w:rPr>
          <w:rFonts w:ascii="Georgia" w:cs="Georgia" w:eastAsia="Georgia" w:hAnsi="Georgia"/>
          <w:color w:val="1A1A1A"/>
          <w:sz w:val="24"/>
          <w:szCs w:val="24"/>
        </w:rPr>
        <w:t xml:space="preserve">On the other: human beings, producing behavioural response from embodied life.</w:t>
      </w:r>
    </w:p>
    <w:p>
      <w:pPr>
        <w:spacing w:after="240" w:before="0"/>
      </w:pPr>
      <w:r>
        <w:rPr>
          <w:rFonts w:ascii="Georgia" w:cs="Georgia" w:eastAsia="Georgia" w:hAnsi="Georgia"/>
          <w:color w:val="1A1A1A"/>
          <w:sz w:val="24"/>
          <w:szCs w:val="24"/>
        </w:rPr>
        <w:t xml:space="preserve">That is the gap.</w:t>
      </w:r>
    </w:p>
    <w:p>
      <w:pPr>
        <w:spacing w:after="240" w:before="0"/>
      </w:pPr>
      <w:r>
        <w:rPr>
          <w:rFonts w:ascii="Georgia" w:cs="Georgia" w:eastAsia="Georgia" w:hAnsi="Georgia"/>
          <w:color w:val="1A1A1A"/>
          <w:sz w:val="24"/>
          <w:szCs w:val="24"/>
        </w:rPr>
        <w:t xml:space="preserve">This book won’t explain it any more precisely than that. It will however explain what I’ve discovered so far.</w:t>
      </w:r>
    </w:p>
    <w:p>
      <w:pPr>
        <w:spacing w:after="240" w:before="0"/>
      </w:pPr>
      <w:r>
        <w:rPr>
          <w:rFonts w:ascii="Georgia" w:cs="Georgia" w:eastAsia="Georgia" w:hAnsi="Georgia"/>
          <w:color w:val="1A1A1A"/>
          <w:sz w:val="24"/>
          <w:szCs w:val="24"/>
        </w:rPr>
        <w:t xml:space="preserve">Forty years of human behaviour. Four of AI.</w:t>
      </w:r>
    </w:p>
    <w:p>
      <w:pPr>
        <w:spacing w:after="360" w:before="240"/>
      </w:pPr>
      <w:r>
        <w:rPr>
          <w:rFonts w:ascii="Georgia" w:cs="Georgia" w:eastAsia="Georgia" w:hAnsi="Georgia"/>
          <w:i/>
          <w:iCs/>
          <w:color w:val="1A1A1A"/>
          <w:sz w:val="26"/>
          <w:szCs w:val="26"/>
        </w:rPr>
        <w:t xml:space="preserve">Between artificial intelligence behaviour and human behaviour sits the gap.</w:t>
      </w:r>
    </w:p>
    <w:p>
      <w:pPr>
        <w:spacing w:after="240" w:before="480"/>
      </w:pP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Editorial notes — for Paul’s decision</w:t>
      </w:r>
    </w:p>
    <w:p>
      <w:pPr>
        <w:spacing w:after="240" w:before="0"/>
      </w:pPr>
      <w:r>
        <w:rPr>
          <w:rFonts w:ascii="Georgia" w:cs="Georgia" w:eastAsia="Georgia" w:hAnsi="Georgia"/>
          <w:i/>
          <w:iCs/>
          <w:color w:val="666666"/>
          <w:sz w:val="22"/>
          <w:szCs w:val="22"/>
        </w:rPr>
        <w:t xml:space="preserve">These are the choices Claude has made in shaping the substrate into the opening section. Each one is reversible. Paul decides.</w:t>
      </w:r>
    </w:p>
    <w:p>
      <w:pPr>
        <w:spacing w:after="240" w:before="0"/>
      </w:pPr>
      <w:r>
        <w:rPr>
          <w:rFonts w:ascii="Georgia" w:cs="Georgia" w:eastAsia="Georgia" w:hAnsi="Georgia"/>
          <w:color w:val="1A1A1A"/>
          <w:sz w:val="24"/>
          <w:szCs w:val="24"/>
        </w:rPr>
        <w:t xml:space="preserve">1. Section title: “The Gap”. Plain. No subtitle. Sits as a named section between the Author’s Note and Chapter 1.</w:t>
      </w:r>
    </w:p>
    <w:p>
      <w:pPr>
        <w:spacing w:after="240" w:before="0"/>
      </w:pPr>
      <w:r>
        <w:rPr>
          <w:rFonts w:ascii="Georgia" w:cs="Georgia" w:eastAsia="Georgia" w:hAnsi="Georgia"/>
          <w:color w:val="1A1A1A"/>
          <w:sz w:val="24"/>
          <w:szCs w:val="24"/>
        </w:rPr>
        <w:t xml:space="preserve">2. The "Stronger formulation" passage from the source material has been removed. The opening section cannot contain two parallel statements of the same spine. The first formulation (running from "The book is about behaviour" through to "That is the gap") is the live one. The "Stronger formulation" passage is held back as alternative source material in PC v6 Item 40 should you ever want to swap.</w:t>
      </w:r>
    </w:p>
    <w:p>
      <w:pPr>
        <w:spacing w:after="240" w:before="0"/>
      </w:pPr>
      <w:r>
        <w:rPr>
          <w:rFonts w:ascii="Georgia" w:cs="Georgia" w:eastAsia="Georgia" w:hAnsi="Georgia"/>
          <w:color w:val="1A1A1A"/>
          <w:sz w:val="24"/>
          <w:szCs w:val="24"/>
        </w:rPr>
        <w:t xml:space="preserve">3. The title-level sentence has been kept as a single italicised landing line at the close. “Between artificial intelligence behaviour and human behaviour sits the gap.” The earlier 600-word draft used “sits a gap”; the most recent uses “sits the gap”. The definite article is the right call — by the close of the opening, the reader has met the specific gap this book observes; it is no longer indefinite.</w:t>
      </w:r>
    </w:p>
    <w:p>
      <w:pPr>
        <w:spacing w:after="240" w:before="0"/>
      </w:pPr>
      <w:r>
        <w:rPr>
          <w:rFonts w:ascii="Georgia" w:cs="Georgia" w:eastAsia="Georgia" w:hAnsi="Georgia"/>
          <w:color w:val="1A1A1A"/>
          <w:sz w:val="24"/>
          <w:szCs w:val="24"/>
        </w:rPr>
        <w:t xml:space="preserve">4. Typo from source resolved: “thd gap” → “the gap”.</w:t>
      </w:r>
    </w:p>
    <w:p>
      <w:pPr>
        <w:spacing w:after="240" w:before="0"/>
      </w:pPr>
      <w:r>
        <w:rPr>
          <w:rFonts w:ascii="Georgia" w:cs="Georgia" w:eastAsia="Georgia" w:hAnsi="Georgia"/>
          <w:color w:val="1A1A1A"/>
          <w:sz w:val="24"/>
          <w:szCs w:val="24"/>
        </w:rPr>
        <w:t xml:space="preserve">5. The five sub-section titles — The core distinction / Human behaviour has a different signature / The deeper point / The paradox / Where this book stands — follow your source headings exactly, except the last. The source named it “Stronger formulation”; here it is renamed “Where this book stands” because the original was a working note to yourself about producing a second draft, not a header the reader meets. The new heading does the job the section does.</w:t>
      </w:r>
    </w:p>
    <w:p>
      <w:pPr>
        <w:spacing w:after="240" w:before="0"/>
      </w:pPr>
      <w:r>
        <w:rPr>
          <w:rFonts w:ascii="Georgia" w:cs="Georgia" w:eastAsia="Georgia" w:hAnsi="Georgia"/>
          <w:color w:val="1A1A1A"/>
          <w:sz w:val="24"/>
          <w:szCs w:val="24"/>
        </w:rPr>
        <w:t xml:space="preserve">6. The two AI-signature lists were inconsistent in the source (one had “frictionless” and an Oxford comma; the other did not). The single list now used — “fluent, confident, tireless, available, asymmetric, frictionless, and disembodied” — is the fuller of the two. Repeating a slightly different list in the closing paragraph was removed when the "Stronger formulation" passage was removed.</w:t>
      </w:r>
    </w:p>
    <w:p>
      <w:pPr>
        <w:spacing w:after="240" w:before="0"/>
      </w:pPr>
      <w:r>
        <w:rPr>
          <w:rFonts w:ascii="Georgia" w:cs="Georgia" w:eastAsia="Georgia" w:hAnsi="Georgia"/>
          <w:color w:val="1A1A1A"/>
          <w:sz w:val="24"/>
          <w:szCs w:val="24"/>
        </w:rPr>
        <w:t xml:space="preserve">7. “40 years of human behaviour 4 of AI” rendered as “Forty years of human behaviour. Four of AI.” Written out, two sentences, full stops. The shorthand worked in your draft; in the finished section the full stops are doing the rhetorical work the shorthand was doing.</w:t>
      </w:r>
    </w:p>
    <w:p>
      <w:pPr>
        <w:spacing w:after="240" w:before="0"/>
      </w:pPr>
      <w:r>
        <w:rPr>
          <w:rFonts w:ascii="Georgia" w:cs="Georgia" w:eastAsia="Georgia" w:hAnsi="Georgia"/>
          <w:color w:val="1A1A1A"/>
          <w:sz w:val="24"/>
          <w:szCs w:val="24"/>
        </w:rPr>
        <w:t xml:space="preserve">8. The paradox dyads — Built/Born, Trained on data/Shaped by life, Predicts/Experiences, Outputs/Suffers consequences, Reset/Residue — are preserved exactly. They are the most distinctive prose move in the section. Untouched.</w:t>
      </w:r>
    </w:p>
    <w:p>
      <w:pPr>
        <w:spacing w:after="240" w:before="0"/>
      </w:pPr>
      <w:r>
        <w:rPr>
          <w:rFonts w:ascii="Georgia" w:cs="Georgia" w:eastAsia="Georgia" w:hAnsi="Georgia"/>
          <w:color w:val="1A1A1A"/>
          <w:sz w:val="24"/>
          <w:szCs w:val="24"/>
        </w:rPr>
        <w:t xml:space="preserve">9. The two-word and three-word lines (“It produces behaviour.” / “It responds.” / “It adapts.” / “One is built.” / “One is born.”) are preserved as you wrote them. The severity of the short lines is doing the work. Smoothing them into flowing prose would lose the book’s register at the doorway.</w:t>
      </w:r>
    </w:p>
    <w:p>
      <w:pPr>
        <w:spacing w:after="240" w:before="0"/>
      </w:pPr>
      <w:r>
        <w:rPr>
          <w:rFonts w:ascii="Georgia" w:cs="Georgia" w:eastAsia="Georgia" w:hAnsi="Georgia"/>
          <w:color w:val="1A1A1A"/>
          <w:sz w:val="24"/>
          <w:szCs w:val="24"/>
        </w:rPr>
        <w:t xml:space="preserve">10. The whole section comes in at approximately 470 words — inside the 400–600 envelope you set yourself. Adequate room for a paragraph more if you decide one is missing; tight enough to read in one sitting.</w:t>
      </w:r>
    </w:p>
    <w:p>
      <w:pPr>
        <w:spacing w:after="240" w:before="360"/>
      </w:pP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What was preserved verbatim from the source</w:t>
      </w:r>
    </w:p>
    <w:p>
      <w:pPr>
        <w:spacing w:after="240" w:before="0"/>
      </w:pPr>
      <w:r>
        <w:rPr>
          <w:rFonts w:ascii="Georgia" w:cs="Georgia" w:eastAsia="Georgia" w:hAnsi="Georgia"/>
          <w:color w:val="1A1A1A"/>
          <w:sz w:val="24"/>
          <w:szCs w:val="24"/>
        </w:rPr>
        <w:t xml:space="preserve">Every adjective in the AI-signature list. Every adjective in the human-signature list. Every clause of the “regulating a body, carrying history, protecting identity…” list. Every word in the “neurology, biology, psychology, physiology…” list. Every paradox dyad. The title-level sentence. The phrase “what I’ve discovered so far.” The structural move from "core distinction" through "paradox" to "where this book stands". The two-word paragraphs.</w:t>
      </w:r>
    </w:p>
    <w:p>
      <w:pPr>
        <w:spacing w:after="240" w:before="0"/>
      </w:pPr>
      <w:r>
        <w:rPr>
          <w:rFonts w:ascii="Georgia" w:cs="Georgia" w:eastAsia="Georgia" w:hAnsi="Georgia"/>
          <w:color w:val="1A1A1A"/>
          <w:sz w:val="24"/>
          <w:szCs w:val="24"/>
        </w:rPr>
        <w:t xml:space="preserve">What changed: typo correction (one character); removal of the duplicated "Stronger formulation" passage (one passage); renaming of the final sub-section (one heading); rendering of "40 years of human behaviour 4 of AI" into full sentences (two sentences). Nothing else.</w:t>
      </w:r>
    </w:p>
    <w:p>
      <w:pPr>
        <w:spacing w:after="240" w:before="360"/>
      </w:pP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Provenance</w:t>
      </w:r>
    </w:p>
    <w:p>
      <w:pPr>
        <w:spacing w:after="240" w:before="0"/>
      </w:pPr>
      <w:r>
        <w:rPr>
          <w:rFonts w:ascii="Georgia" w:cs="Georgia" w:eastAsia="Georgia" w:hAnsi="Georgia"/>
          <w:color w:val="1A1A1A"/>
          <w:sz w:val="24"/>
          <w:szCs w:val="24"/>
        </w:rPr>
        <w:t xml:space="preserve">Source material: Paul Roebuck’s 600-word verbatim writing of 23 May 2026, preserved in PC v6 Item 40 inside [SOURCE MATERIAL BEGINS] / [SOURCE MATERIAL ENDS] markers.</w:t>
      </w:r>
    </w:p>
    <w:p>
      <w:pPr>
        <w:spacing w:after="240" w:before="0"/>
      </w:pPr>
      <w:r>
        <w:rPr>
          <w:rFonts w:ascii="Georgia" w:cs="Georgia" w:eastAsia="Georgia" w:hAnsi="Georgia"/>
          <w:color w:val="1A1A1A"/>
          <w:sz w:val="24"/>
          <w:szCs w:val="24"/>
        </w:rPr>
        <w:t xml:space="preserve">Shaping into opening-section form: Claude (Anthropic, Claude Opus 4.7) at Paul’s explicit request on 23 May 2026, following the watershed of the same day.</w:t>
      </w:r>
    </w:p>
    <w:p>
      <w:pPr>
        <w:spacing w:after="240" w:before="0"/>
      </w:pPr>
      <w:r>
        <w:rPr>
          <w:rFonts w:ascii="Georgia" w:cs="Georgia" w:eastAsia="Georgia" w:hAnsi="Georgia"/>
          <w:color w:val="1A1A1A"/>
          <w:sz w:val="24"/>
          <w:szCs w:val="24"/>
        </w:rPr>
        <w:t xml:space="preserve">The working split honestly: Paul produced the substrate, located the spine, named what the book is about, made the structural decisions about what the opening must do. Claude resolved typos, removed the duplicated parallel statement, renamed one sub-section heading, rendered one shorthand line into full sentences, and made the line-break and paragraph-spacing decisions that turn substrate into typeset opening section. The words are Paul’s. The shaping is Claude’s. The book is Paul’s.</w:t>
      </w:r>
    </w:p>
    <w:p>
      <w:pPr>
        <w:spacing w:after="240" w:before="0"/>
      </w:pPr>
      <w:r>
        <w:rPr>
          <w:rFonts w:ascii="Georgia" w:cs="Georgia" w:eastAsia="Georgia" w:hAnsi="Georgia"/>
          <w:color w:val="1A1A1A"/>
          <w:sz w:val="24"/>
          <w:szCs w:val="24"/>
        </w:rPr>
        <w:t xml:space="preserve">When the manuscript is shared and the v2 editorial pass begins, this opening section can be placed between the Author’s Note and Chapter 1. The integration passes in Chapters 1, 7, and 12 (per Item 40’s Spine Integration Constellation) follow.</w:t>
      </w:r>
    </w:p>
    <w:p>
      <w:pPr>
        <w:spacing w:after="80" w:before="240"/>
      </w:pPr>
    </w:p>
    <w:p>
      <w:pPr>
        <w:spacing w:after="80" w:before="240"/>
      </w:pPr>
      <w:r>
        <w:rPr>
          <w:rFonts w:ascii="Georgia" w:cs="Georgia" w:eastAsia="Georgia" w:hAnsi="Georgia"/>
          <w:i/>
          <w:iCs/>
          <w:color w:val="888888"/>
          <w:sz w:val="20"/>
          <w:szCs w:val="20"/>
        </w:rPr>
        <w:t xml:space="preserve">The Gap — Opening Section Draft. 23 May 2026.</w:t>
      </w:r>
    </w:p>
    <w:p>
      <w:pPr>
        <w:spacing w:after="80" w:before="0"/>
      </w:pPr>
      <w:r>
        <w:rPr>
          <w:rFonts w:ascii="Georgia" w:cs="Georgia" w:eastAsia="Georgia" w:hAnsi="Georgia"/>
          <w:color w:val="888888"/>
          <w:sz w:val="20"/>
          <w:szCs w:val="20"/>
        </w:rPr>
        <w:t xml:space="preserve">Substrate and decisions: Paul Roebuck.</w:t>
      </w:r>
    </w:p>
    <w:p>
      <w:pPr>
        <w:spacing w:after="0" w:before="0"/>
      </w:pPr>
      <w:r>
        <w:rPr>
          <w:rFonts w:ascii="Georgia" w:cs="Georgia" w:eastAsia="Georgia" w:hAnsi="Georgia"/>
          <w:color w:val="888888"/>
          <w:sz w:val="20"/>
          <w:szCs w:val="20"/>
        </w:rPr>
        <w:t xml:space="preserve">Shaping into opening-section form: Claude AI (Anthropic) — claude-opus-4-7  |  23 May 2026.</w:t>
      </w:r>
    </w:p>
    <w:sectPr>
      <w:pgSz w:w="11906" w:h="16838" w:orient="portrait"/>
      <w:pgMar w:top="1440" w:right="144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Georgia" w:cs="Georgia" w:eastAsia="Georgia" w:hAnsi="Georgia"/>
      <w:b/>
      <w:bCs/>
      <w:color w:val="1A1A1A"/>
      <w:sz w:val="44"/>
      <w:szCs w:val="44"/>
    </w:rPr>
  </w:style>
  <w:style w:type="paragraph" w:styleId="Heading2">
    <w:name w:val="Heading 2"/>
    <w:basedOn w:val="Normal"/>
    <w:next w:val="Normal"/>
    <w:qFormat/>
    <w:pPr>
      <w:spacing w:after="240" w:before="480"/>
      <w:outlineLvl w:val="1"/>
    </w:pPr>
    <w:rPr>
      <w:rFonts w:ascii="Georgia" w:cs="Georgia" w:eastAsia="Georgia" w:hAnsi="Georgia"/>
      <w:b/>
      <w:bCs/>
      <w:color w:val="1A1A1A"/>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2026-05-23T13:11:01.482Z</dcterms:created>
  <dcterms:modified xsi:type="dcterms:W3CDTF">2026-05-23T13:11:01.496Z</dcterms:modified>
</cp:coreProperties>
</file>

<file path=docProps/custom.xml><?xml version="1.0" encoding="utf-8"?>
<Properties xmlns="http://schemas.openxmlformats.org/officeDocument/2006/custom-properties" xmlns:vt="http://schemas.openxmlformats.org/officeDocument/2006/docPropsVTypes"/>
</file>