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375B"/>
          <w:sz w:val="36"/>
        </w:rPr>
        <w:t>Mind the Gap</w:t>
      </w:r>
    </w:p>
    <w:p>
      <w:pPr>
        <w:jc w:val="center"/>
      </w:pPr>
      <w:r>
        <w:rPr>
          <w:i/>
          <w:sz w:val="26"/>
        </w:rPr>
        <w:t>Change Log v1.5  ·  V62 → V69</w:t>
      </w:r>
    </w:p>
    <w:p>
      <w:pPr>
        <w:jc w:val="center"/>
      </w:pPr>
      <w:r>
        <w:rPr>
          <w:i/>
          <w:sz w:val="20"/>
        </w:rPr>
        <w:t>28 May 2026</w:t>
      </w:r>
    </w:p>
    <w:p/>
    <w:p>
      <w:r>
        <w:rPr>
          <w:b/>
          <w:color w:val="1F375B"/>
          <w:sz w:val="26"/>
        </w:rPr>
        <w:t>Current baseline</w:t>
      </w:r>
    </w:p>
    <w:p>
      <w:r>
        <w:rPr>
          <w:sz w:val="20"/>
        </w:rPr>
        <w:t>MTG_Manuscript_V69.docx — clean, all tracked changes accepted. 45,716 words. 15 chapters. UK English en-GB. Ch 6 fully rebuilt (gold). Ch 4 carries new 'Its Language' subsection and de-numbered headings. 76m authority passage rehomed in Ch 9 Room Three. Title page aligned to cover. Crewe Q&amp;A formatted.</w:t>
      </w:r>
    </w:p>
    <w:p/>
    <w:p>
      <w:r>
        <w:rPr>
          <w:b/>
          <w:color w:val="1F375B"/>
          <w:sz w:val="26"/>
        </w:rPr>
        <w:t>Version-by-version record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Version</w:t>
            </w:r>
          </w:p>
        </w:tc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Mode</w:t>
            </w:r>
          </w:p>
        </w:tc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Change</w:t>
            </w:r>
          </w:p>
        </w:tc>
        <w:tc>
          <w:tcPr>
            <w:tcW w:type="dxa" w:w="2550"/>
            <w:shd w:fill="1F375B"/>
          </w:tcPr>
          <w:p>
            <w:r>
              <w:rPr>
                <w:b/>
                <w:color w:val="FFFFFF"/>
                <w:sz w:val="19"/>
              </w:rPr>
              <w:t>Note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V63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Structural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Ch4 new 'Its Language' subsection (Dreams + Atomics2/gender, launch-tweet close). Ch2 Atomics2 removed + bridge line added. Ch6 'Dreaming' removed.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The vocabulary/gender argument anchored in Ch4; Ch2 now single-direction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V64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Structural rebuild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Ch6 root-and-branch: Conversation Timeline cut (best line folded to Dangerous Zone), two therapy parallels merged into one Clinical Parallel (reliving fragment repaired), Dangerous Zone promoted to climax with new opener.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8 subsections → 5. Red-flag chapter resolved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V65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Tracked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Ch4 six subsection headings de-numbered to match book style.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Its Language already unnumbered; now all seven consistent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V66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Structural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76m/97-Bibles authority passage lifted from Ch6 to Ch9 Room Three (new opener). Sizing the Window heading deleted. Window-size + 'feeling of infinite' kept as bridge in Ch6.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Completes the Ch6 rebuild; authority lands where it belongs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V67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Tracked (blemishes)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B1: 4 Ch9 Room headings bolded. B2: Ch5 'Clinical Parallel' → 'The Clinical Parallel: Holding the Thread'. B4: 14 numeral chapter refs → words. B3: deliberate no-action on Ch6 bridge paras.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No pre-approval per Paul; all cross-refs verified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V68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Tracked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Title page subtitle updated to match cover: two lines — 'The one hiding in plain sight' / 'Between artificial intelligence behaviour and human behaviour.'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Inside now matches outside</w:t>
            </w:r>
          </w:p>
        </w:tc>
      </w:tr>
      <w:tr>
        <w:tc>
          <w:tcPr>
            <w:tcW w:type="dxa" w:w="2550"/>
          </w:tcPr>
          <w:p>
            <w:pPr>
              <w:spacing w:before="0" w:after="0"/>
            </w:pPr>
            <w:r>
              <w:rPr>
                <w:b/>
                <w:sz w:val="17"/>
              </w:rPr>
              <w:t>V69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Tracked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Ch5 Crewe Q&amp;A formatted: 7 human questions bolded, machine answers plain. 'Confidently. Fluently. Incorrectly.' split to its own narration line.</w:t>
            </w:r>
          </w:p>
        </w:tc>
        <w:tc>
          <w:tcPr>
            <w:tcW w:type="dxa" w:w="2550"/>
          </w:tcPr>
          <w:p>
            <w:pPr>
              <w:spacing w:before="0" w:after="0"/>
            </w:pPr>
            <w:r>
              <w:rPr>
                <w:sz w:val="17"/>
              </w:rPr>
              <w:t>Bold-question dialogue device — first use in book</w:t>
            </w:r>
          </w:p>
        </w:tc>
      </w:tr>
    </w:tbl>
    <w:p/>
    <w:p>
      <w:r>
        <w:rPr>
          <w:b/>
          <w:color w:val="1F375B"/>
          <w:sz w:val="26"/>
        </w:rPr>
        <w:t>Word count trajectory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>
        <w:tc>
          <w:tcPr>
            <w:tcW w:type="dxa" w:w="1275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6"/>
              </w:rPr>
              <w:t>V62</w:t>
            </w:r>
          </w:p>
        </w:tc>
        <w:tc>
          <w:tcPr>
            <w:tcW w:type="dxa" w:w="1275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6"/>
              </w:rPr>
              <w:t>V63</w:t>
            </w:r>
          </w:p>
        </w:tc>
        <w:tc>
          <w:tcPr>
            <w:tcW w:type="dxa" w:w="1275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6"/>
              </w:rPr>
              <w:t>V64</w:t>
            </w:r>
          </w:p>
        </w:tc>
        <w:tc>
          <w:tcPr>
            <w:tcW w:type="dxa" w:w="1275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6"/>
              </w:rPr>
              <w:t>V65</w:t>
            </w:r>
          </w:p>
        </w:tc>
        <w:tc>
          <w:tcPr>
            <w:tcW w:type="dxa" w:w="1275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6"/>
              </w:rPr>
              <w:t>V66</w:t>
            </w:r>
          </w:p>
        </w:tc>
        <w:tc>
          <w:tcPr>
            <w:tcW w:type="dxa" w:w="1275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6"/>
              </w:rPr>
              <w:t>V67</w:t>
            </w:r>
          </w:p>
        </w:tc>
        <w:tc>
          <w:tcPr>
            <w:tcW w:type="dxa" w:w="1275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6"/>
              </w:rPr>
              <w:t>V68</w:t>
            </w:r>
          </w:p>
        </w:tc>
        <w:tc>
          <w:tcPr>
            <w:tcW w:type="dxa" w:w="1275"/>
            <w:shd w:fill="1F375B"/>
          </w:tcPr>
          <w:p>
            <w:pPr>
              <w:spacing w:before="0" w:after="0"/>
              <w:jc w:val="center"/>
            </w:pPr>
            <w:r>
              <w:rPr>
                <w:b/>
                <w:color w:val="FFFFFF"/>
                <w:sz w:val="16"/>
              </w:rPr>
              <w:t>V69</w:t>
            </w:r>
          </w:p>
        </w:tc>
      </w:tr>
      <w:tr>
        <w:tc>
          <w:tcPr>
            <w:tcW w:type="dxa" w:w="1275"/>
          </w:tcPr>
          <w:p>
            <w:pPr>
              <w:spacing w:before="0" w:after="0"/>
              <w:jc w:val="center"/>
            </w:pPr>
            <w:r>
              <w:rPr>
                <w:sz w:val="16"/>
              </w:rPr>
              <w:t>45,768</w:t>
            </w:r>
          </w:p>
        </w:tc>
        <w:tc>
          <w:tcPr>
            <w:tcW w:type="dxa" w:w="1275"/>
          </w:tcPr>
          <w:p>
            <w:pPr>
              <w:spacing w:before="0" w:after="0"/>
              <w:jc w:val="center"/>
            </w:pPr>
            <w:r>
              <w:rPr>
                <w:sz w:val="16"/>
              </w:rPr>
              <w:t>45,972</w:t>
            </w:r>
          </w:p>
        </w:tc>
        <w:tc>
          <w:tcPr>
            <w:tcW w:type="dxa" w:w="1275"/>
          </w:tcPr>
          <w:p>
            <w:pPr>
              <w:spacing w:before="0" w:after="0"/>
              <w:jc w:val="center"/>
            </w:pPr>
            <w:r>
              <w:rPr>
                <w:sz w:val="16"/>
              </w:rPr>
              <w:t>45,782</w:t>
            </w:r>
          </w:p>
        </w:tc>
        <w:tc>
          <w:tcPr>
            <w:tcW w:type="dxa" w:w="1275"/>
          </w:tcPr>
          <w:p>
            <w:pPr>
              <w:spacing w:before="0" w:after="0"/>
              <w:jc w:val="center"/>
            </w:pPr>
            <w:r>
              <w:rPr>
                <w:sz w:val="16"/>
              </w:rPr>
              <w:t>45,776</w:t>
            </w:r>
          </w:p>
        </w:tc>
        <w:tc>
          <w:tcPr>
            <w:tcW w:type="dxa" w:w="1275"/>
          </w:tcPr>
          <w:p>
            <w:pPr>
              <w:spacing w:before="0" w:after="0"/>
              <w:jc w:val="center"/>
            </w:pPr>
            <w:r>
              <w:rPr>
                <w:sz w:val="16"/>
              </w:rPr>
              <w:t>45,712</w:t>
            </w:r>
          </w:p>
        </w:tc>
        <w:tc>
          <w:tcPr>
            <w:tcW w:type="dxa" w:w="1275"/>
          </w:tcPr>
          <w:p>
            <w:pPr>
              <w:spacing w:before="0" w:after="0"/>
              <w:jc w:val="center"/>
            </w:pPr>
            <w:r>
              <w:rPr>
                <w:sz w:val="16"/>
              </w:rPr>
              <w:t>45,712</w:t>
            </w:r>
          </w:p>
        </w:tc>
        <w:tc>
          <w:tcPr>
            <w:tcW w:type="dxa" w:w="1275"/>
          </w:tcPr>
          <w:p>
            <w:pPr>
              <w:spacing w:before="0" w:after="0"/>
              <w:jc w:val="center"/>
            </w:pPr>
            <w:r>
              <w:rPr>
                <w:sz w:val="16"/>
              </w:rPr>
              <w:t>45,716</w:t>
            </w:r>
          </w:p>
        </w:tc>
        <w:tc>
          <w:tcPr>
            <w:tcW w:type="dxa" w:w="1275"/>
          </w:tcPr>
          <w:p>
            <w:pPr>
              <w:spacing w:before="0" w:after="0"/>
              <w:jc w:val="center"/>
            </w:pPr>
            <w:r>
              <w:rPr>
                <w:sz w:val="16"/>
              </w:rPr>
              <w:t>45,716</w:t>
            </w:r>
          </w:p>
        </w:tc>
      </w:tr>
    </w:tbl>
    <w:p/>
    <w:p>
      <w:r>
        <w:rPr>
          <w:i/>
          <w:sz w:val="18"/>
        </w:rPr>
        <w:t>Note: word count remarkably stable (±260) across heavy restructuring — material moved and merged, not bloated.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