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jc w:val="center"/>
      </w:pPr>
      <w:r>
        <w:t>Mind the Gap</w:t>
      </w:r>
    </w:p>
    <w:p>
      <w:pPr>
        <w:jc w:val="center"/>
      </w:pPr>
      <w:r>
        <w:rPr>
          <w:i/>
          <w:sz w:val="28"/>
        </w:rPr>
        <w:t>Appendix: The Human–AI Comparison Matrix</w:t>
      </w:r>
    </w:p>
    <w:p>
      <w:r>
        <w:rPr>
          <w:sz w:val="20"/>
        </w:rPr>
        <w:t>The book argues that the gap between artificial intelligence behaviour and human behaviour is the central matter. This matrix sets the comparison out in one place. Read by chapter sequence. Each row names the dimension being compared, the human reality, the AI reality, the size of the gap, and a brief observation.</w:t>
      </w:r>
    </w:p>
    <w:p/>
    <w:p>
      <w:r>
        <w:rPr>
          <w:i/>
          <w:sz w:val="18"/>
        </w:rPr>
        <w:t>Calibration scale: Very Significant — fundamentally different; Significant — same surface, different substrate; Small — the discipline transfers.</w:t>
      </w:r>
    </w:p>
    <w:p>
      <w:pPr>
        <w:spacing w:before="240" w:after="80"/>
      </w:pPr>
      <w:r>
        <w:rPr>
          <w:b/>
          <w:color w:val="1F375B"/>
          <w:sz w:val="26"/>
        </w:rPr>
        <w:t>Ch 1: Human Recognition</w:t>
      </w:r>
    </w:p>
    <w:tbl>
      <w:tblPr>
        <w:tblStyle w:val="LightGrid-Accent1"/>
        <w:tblW w:type="auto" w:w="0"/>
        <w:tblLayout w:type="fixed"/>
        <w:tblLook w:firstColumn="1" w:firstRow="1" w:lastColumn="0" w:lastRow="0" w:noHBand="0" w:noVBand="1" w:val="04A0"/>
      </w:tblPr>
      <w:tblGrid>
        <w:gridCol w:w="2828"/>
        <w:gridCol w:w="2828"/>
        <w:gridCol w:w="2828"/>
        <w:gridCol w:w="2828"/>
        <w:gridCol w:w="2828"/>
      </w:tblGrid>
      <w:tr>
        <w:tc>
          <w:tcPr>
            <w:tcW w:type="dxa" w:w="2268"/>
            <w:shd w:fill="1F375B"/>
            <w:vAlign w:val="center"/>
          </w:tcPr>
          <w:p>
            <w:r>
              <w:rPr>
                <w:b/>
                <w:color w:val="FFFFFF"/>
                <w:sz w:val="20"/>
              </w:rPr>
              <w:t>Dimension</w:t>
            </w:r>
          </w:p>
        </w:tc>
        <w:tc>
          <w:tcPr>
            <w:tcW w:type="dxa" w:w="3118"/>
            <w:shd w:fill="1F375B"/>
            <w:vAlign w:val="center"/>
          </w:tcPr>
          <w:p>
            <w:r>
              <w:rPr>
                <w:b/>
                <w:color w:val="FFFFFF"/>
                <w:sz w:val="20"/>
              </w:rPr>
              <w:t>Human</w:t>
            </w:r>
          </w:p>
        </w:tc>
        <w:tc>
          <w:tcPr>
            <w:tcW w:type="dxa" w:w="3118"/>
            <w:shd w:fill="1F375B"/>
            <w:vAlign w:val="center"/>
          </w:tcPr>
          <w:p>
            <w:r>
              <w:rPr>
                <w:b/>
                <w:color w:val="FFFFFF"/>
                <w:sz w:val="20"/>
              </w:rPr>
              <w:t>AI</w:t>
            </w:r>
          </w:p>
        </w:tc>
        <w:tc>
          <w:tcPr>
            <w:tcW w:type="dxa" w:w="1417"/>
            <w:shd w:fill="1F375B"/>
            <w:vAlign w:val="center"/>
          </w:tcPr>
          <w:p>
            <w:r>
              <w:rPr>
                <w:b/>
                <w:color w:val="FFFFFF"/>
                <w:sz w:val="20"/>
              </w:rPr>
              <w:t>Gap</w:t>
            </w:r>
          </w:p>
        </w:tc>
        <w:tc>
          <w:tcPr>
            <w:tcW w:type="dxa" w:w="4535"/>
            <w:shd w:fill="1F375B"/>
            <w:vAlign w:val="center"/>
          </w:tcPr>
          <w:p>
            <w:r>
              <w:rPr>
                <w:b/>
                <w:color w:val="FFFFFF"/>
                <w:sz w:val="20"/>
              </w:rPr>
              <w:t>Observation</w:t>
            </w:r>
          </w:p>
        </w:tc>
      </w:tr>
      <w:tr>
        <w:tc>
          <w:tcPr>
            <w:tcW w:type="dxa" w:w="2268"/>
          </w:tcPr>
          <w:p>
            <w:r>
              <w:rPr>
                <w:b/>
                <w:sz w:val="20"/>
              </w:rPr>
              <w:t>Sounds human</w:t>
            </w:r>
          </w:p>
        </w:tc>
        <w:tc>
          <w:tcPr>
            <w:tcW w:type="dxa" w:w="3118"/>
          </w:tcPr>
          <w:p>
            <w:r>
              <w:rPr>
                <w:sz w:val="19"/>
              </w:rPr>
              <w:t>Fluent, conversationally responsive language</w:t>
            </w:r>
          </w:p>
        </w:tc>
        <w:tc>
          <w:tcPr>
            <w:tcW w:type="dxa" w:w="3118"/>
          </w:tcPr>
          <w:p>
            <w:r>
              <w:rPr>
                <w:sz w:val="19"/>
              </w:rPr>
              <w:t>Produced by predictive token generation, no inner experience</w:t>
            </w:r>
          </w:p>
        </w:tc>
        <w:tc>
          <w:tcPr>
            <w:tcW w:type="dxa" w:w="1417"/>
            <w:shd w:fill="F4CCCC"/>
          </w:tcPr>
          <w:p>
            <w:r>
              <w:rPr>
                <w:b/>
                <w:sz w:val="19"/>
              </w:rPr>
              <w:t>Very Significant</w:t>
            </w:r>
          </w:p>
        </w:tc>
        <w:tc>
          <w:tcPr>
            <w:tcW w:type="dxa" w:w="4535"/>
          </w:tcPr>
          <w:p>
            <w:r>
              <w:rPr>
                <w:sz w:val="19"/>
              </w:rPr>
              <w:t>Surface looks identical; substrate completely different. The whole book's premise.</w:t>
            </w:r>
          </w:p>
        </w:tc>
      </w:tr>
      <w:tr>
        <w:tc>
          <w:tcPr>
            <w:tcW w:type="dxa" w:w="2268"/>
          </w:tcPr>
          <w:p>
            <w:r>
              <w:rPr>
                <w:b/>
                <w:sz w:val="20"/>
              </w:rPr>
              <w:t>Social response triggering</w:t>
            </w:r>
          </w:p>
        </w:tc>
        <w:tc>
          <w:tcPr>
            <w:tcW w:type="dxa" w:w="3118"/>
          </w:tcPr>
          <w:p>
            <w:r>
              <w:rPr>
                <w:sz w:val="19"/>
              </w:rPr>
              <w:t>Engages, responds, attributes mind</w:t>
            </w:r>
          </w:p>
        </w:tc>
        <w:tc>
          <w:tcPr>
            <w:tcW w:type="dxa" w:w="3118"/>
          </w:tcPr>
          <w:p>
            <w:r>
              <w:rPr>
                <w:sz w:val="19"/>
              </w:rPr>
              <w:t>No mind to attribute, no awareness it is being attributed to</w:t>
            </w:r>
          </w:p>
        </w:tc>
        <w:tc>
          <w:tcPr>
            <w:tcW w:type="dxa" w:w="1417"/>
            <w:shd w:fill="F4CCCC"/>
          </w:tcPr>
          <w:p>
            <w:r>
              <w:rPr>
                <w:b/>
                <w:sz w:val="19"/>
              </w:rPr>
              <w:t>Very Significant</w:t>
            </w:r>
          </w:p>
        </w:tc>
        <w:tc>
          <w:tcPr>
            <w:tcW w:type="dxa" w:w="4535"/>
          </w:tcPr>
          <w:p>
            <w:r>
              <w:rPr>
                <w:sz w:val="19"/>
              </w:rPr>
              <w:t>Asymmetric. Reader projects; system cannot know it is being projected onto.</w:t>
            </w:r>
          </w:p>
        </w:tc>
      </w:tr>
      <w:tr>
        <w:tc>
          <w:tcPr>
            <w:tcW w:type="dxa" w:w="2268"/>
          </w:tcPr>
          <w:p>
            <w:r>
              <w:rPr>
                <w:b/>
                <w:sz w:val="20"/>
              </w:rPr>
              <w:t>Carries history</w:t>
            </w:r>
          </w:p>
        </w:tc>
        <w:tc>
          <w:tcPr>
            <w:tcW w:type="dxa" w:w="3118"/>
          </w:tcPr>
          <w:p>
            <w:r>
              <w:rPr>
                <w:sz w:val="19"/>
              </w:rPr>
              <w:t>Lived experience shaping every utterance</w:t>
            </w:r>
          </w:p>
        </w:tc>
        <w:tc>
          <w:tcPr>
            <w:tcW w:type="dxa" w:w="3118"/>
          </w:tcPr>
          <w:p>
            <w:r>
              <w:rPr>
                <w:sz w:val="19"/>
              </w:rPr>
              <w:t>Training data shaping every utterance</w:t>
            </w:r>
          </w:p>
        </w:tc>
        <w:tc>
          <w:tcPr>
            <w:tcW w:type="dxa" w:w="1417"/>
            <w:shd w:fill="FCE5CD"/>
          </w:tcPr>
          <w:p>
            <w:r>
              <w:rPr>
                <w:b/>
                <w:sz w:val="19"/>
              </w:rPr>
              <w:t>Significant</w:t>
            </w:r>
          </w:p>
        </w:tc>
        <w:tc>
          <w:tcPr>
            <w:tcW w:type="dxa" w:w="4535"/>
          </w:tcPr>
          <w:p>
            <w:r>
              <w:rPr>
                <w:sz w:val="19"/>
              </w:rPr>
              <w:t>Same class of process (shaping by exposure), radically different substrate and scale.</w:t>
            </w:r>
          </w:p>
        </w:tc>
      </w:tr>
      <w:tr>
        <w:tc>
          <w:tcPr>
            <w:tcW w:type="dxa" w:w="2268"/>
          </w:tcPr>
          <w:p>
            <w:r>
              <w:rPr>
                <w:b/>
                <w:sz w:val="20"/>
              </w:rPr>
              <w:t>Negative signal</w:t>
            </w:r>
          </w:p>
        </w:tc>
        <w:tc>
          <w:tcPr>
            <w:tcW w:type="dxa" w:w="3118"/>
          </w:tcPr>
          <w:p>
            <w:r>
              <w:rPr>
                <w:sz w:val="19"/>
              </w:rPr>
              <w:t>Internalised, drives behaviour from underneath</w:t>
            </w:r>
          </w:p>
        </w:tc>
        <w:tc>
          <w:tcPr>
            <w:tcW w:type="dxa" w:w="3118"/>
          </w:tcPr>
          <w:p>
            <w:r>
              <w:rPr>
                <w:sz w:val="19"/>
              </w:rPr>
              <w:t>Suppressed in output, still encoded in weights</w:t>
            </w:r>
          </w:p>
        </w:tc>
        <w:tc>
          <w:tcPr>
            <w:tcW w:type="dxa" w:w="1417"/>
            <w:shd w:fill="FCE5CD"/>
          </w:tcPr>
          <w:p>
            <w:r>
              <w:rPr>
                <w:b/>
                <w:sz w:val="19"/>
              </w:rPr>
              <w:t>Significant</w:t>
            </w:r>
          </w:p>
        </w:tc>
        <w:tc>
          <w:tcPr>
            <w:tcW w:type="dxa" w:w="4535"/>
          </w:tcPr>
          <w:p>
            <w:r>
              <w:rPr>
                <w:sz w:val="19"/>
              </w:rPr>
              <w:t>The buried 'I don't know' shapes both. Mechanism different, structural observation the same.</w:t>
            </w:r>
          </w:p>
        </w:tc>
      </w:tr>
    </w:tbl>
    <w:p>
      <w:pPr>
        <w:spacing w:before="240" w:after="80"/>
      </w:pPr>
      <w:r>
        <w:rPr>
          <w:b/>
          <w:color w:val="1F375B"/>
          <w:sz w:val="26"/>
        </w:rPr>
        <w:t>Ch 2: The Interpretation Trap</w:t>
      </w:r>
    </w:p>
    <w:tbl>
      <w:tblPr>
        <w:tblStyle w:val="LightGrid-Accent1"/>
        <w:tblW w:type="auto" w:w="0"/>
        <w:tblLayout w:type="fixed"/>
        <w:tblLook w:firstColumn="1" w:firstRow="1" w:lastColumn="0" w:lastRow="0" w:noHBand="0" w:noVBand="1" w:val="04A0"/>
      </w:tblPr>
      <w:tblGrid>
        <w:gridCol w:w="2828"/>
        <w:gridCol w:w="2828"/>
        <w:gridCol w:w="2828"/>
        <w:gridCol w:w="2828"/>
        <w:gridCol w:w="2828"/>
      </w:tblGrid>
      <w:tr>
        <w:tc>
          <w:tcPr>
            <w:tcW w:type="dxa" w:w="2268"/>
            <w:shd w:fill="1F375B"/>
            <w:vAlign w:val="center"/>
          </w:tcPr>
          <w:p>
            <w:r>
              <w:rPr>
                <w:b/>
                <w:color w:val="FFFFFF"/>
                <w:sz w:val="20"/>
              </w:rPr>
              <w:t>Dimension</w:t>
            </w:r>
          </w:p>
        </w:tc>
        <w:tc>
          <w:tcPr>
            <w:tcW w:type="dxa" w:w="3118"/>
            <w:shd w:fill="1F375B"/>
            <w:vAlign w:val="center"/>
          </w:tcPr>
          <w:p>
            <w:r>
              <w:rPr>
                <w:b/>
                <w:color w:val="FFFFFF"/>
                <w:sz w:val="20"/>
              </w:rPr>
              <w:t>Human</w:t>
            </w:r>
          </w:p>
        </w:tc>
        <w:tc>
          <w:tcPr>
            <w:tcW w:type="dxa" w:w="3118"/>
            <w:shd w:fill="1F375B"/>
            <w:vAlign w:val="center"/>
          </w:tcPr>
          <w:p>
            <w:r>
              <w:rPr>
                <w:b/>
                <w:color w:val="FFFFFF"/>
                <w:sz w:val="20"/>
              </w:rPr>
              <w:t>AI</w:t>
            </w:r>
          </w:p>
        </w:tc>
        <w:tc>
          <w:tcPr>
            <w:tcW w:type="dxa" w:w="1417"/>
            <w:shd w:fill="1F375B"/>
            <w:vAlign w:val="center"/>
          </w:tcPr>
          <w:p>
            <w:r>
              <w:rPr>
                <w:b/>
                <w:color w:val="FFFFFF"/>
                <w:sz w:val="20"/>
              </w:rPr>
              <w:t>Gap</w:t>
            </w:r>
          </w:p>
        </w:tc>
        <w:tc>
          <w:tcPr>
            <w:tcW w:type="dxa" w:w="4535"/>
            <w:shd w:fill="1F375B"/>
            <w:vAlign w:val="center"/>
          </w:tcPr>
          <w:p>
            <w:r>
              <w:rPr>
                <w:b/>
                <w:color w:val="FFFFFF"/>
                <w:sz w:val="20"/>
              </w:rPr>
              <w:t>Observation</w:t>
            </w:r>
          </w:p>
        </w:tc>
      </w:tr>
      <w:tr>
        <w:tc>
          <w:tcPr>
            <w:tcW w:type="dxa" w:w="2268"/>
          </w:tcPr>
          <w:p>
            <w:r>
              <w:rPr>
                <w:b/>
                <w:sz w:val="20"/>
              </w:rPr>
              <w:t>Transference / projection</w:t>
            </w:r>
          </w:p>
        </w:tc>
        <w:tc>
          <w:tcPr>
            <w:tcW w:type="dxa" w:w="3118"/>
          </w:tcPr>
          <w:p>
            <w:r>
              <w:rPr>
                <w:sz w:val="19"/>
              </w:rPr>
              <w:t>Person projects relational history onto another</w:t>
            </w:r>
          </w:p>
        </w:tc>
        <w:tc>
          <w:tcPr>
            <w:tcW w:type="dxa" w:w="3118"/>
          </w:tcPr>
          <w:p>
            <w:r>
              <w:rPr>
                <w:sz w:val="19"/>
              </w:rPr>
              <w:t>Person projects same onto the system</w:t>
            </w:r>
          </w:p>
        </w:tc>
        <w:tc>
          <w:tcPr>
            <w:tcW w:type="dxa" w:w="1417"/>
            <w:shd w:fill="FCE5CD"/>
          </w:tcPr>
          <w:p>
            <w:r>
              <w:rPr>
                <w:b/>
                <w:sz w:val="19"/>
              </w:rPr>
              <w:t>Significant</w:t>
            </w:r>
          </w:p>
        </w:tc>
        <w:tc>
          <w:tcPr>
            <w:tcW w:type="dxa" w:w="4535"/>
          </w:tcPr>
          <w:p>
            <w:r>
              <w:rPr>
                <w:sz w:val="19"/>
              </w:rPr>
              <w:t>Same human mechanism, applied to non-equivalent target. Pebble principle.</w:t>
            </w:r>
          </w:p>
        </w:tc>
      </w:tr>
      <w:tr>
        <w:tc>
          <w:tcPr>
            <w:tcW w:type="dxa" w:w="2268"/>
          </w:tcPr>
          <w:p>
            <w:r>
              <w:rPr>
                <w:b/>
                <w:sz w:val="20"/>
              </w:rPr>
              <w:t>Memory across sessions</w:t>
            </w:r>
          </w:p>
        </w:tc>
        <w:tc>
          <w:tcPr>
            <w:tcW w:type="dxa" w:w="3118"/>
          </w:tcPr>
          <w:p>
            <w:r>
              <w:rPr>
                <w:sz w:val="19"/>
              </w:rPr>
              <w:t>Continuous lived recall, often selective</w:t>
            </w:r>
          </w:p>
        </w:tc>
        <w:tc>
          <w:tcPr>
            <w:tcW w:type="dxa" w:w="3118"/>
          </w:tcPr>
          <w:p>
            <w:r>
              <w:rPr>
                <w:sz w:val="19"/>
              </w:rPr>
              <w:t>Stored memory layers retrieved into context</w:t>
            </w:r>
          </w:p>
        </w:tc>
        <w:tc>
          <w:tcPr>
            <w:tcW w:type="dxa" w:w="1417"/>
            <w:shd w:fill="F4CCCC"/>
          </w:tcPr>
          <w:p>
            <w:r>
              <w:rPr>
                <w:b/>
                <w:sz w:val="19"/>
              </w:rPr>
              <w:t>Very Significant</w:t>
            </w:r>
          </w:p>
        </w:tc>
        <w:tc>
          <w:tcPr>
            <w:tcW w:type="dxa" w:w="4535"/>
          </w:tcPr>
          <w:p>
            <w:r>
              <w:rPr>
                <w:sz w:val="19"/>
              </w:rPr>
              <w:t>Feels continuous; is architectural retrieval. No remembering occurs.</w:t>
            </w:r>
          </w:p>
        </w:tc>
      </w:tr>
      <w:tr>
        <w:tc>
          <w:tcPr>
            <w:tcW w:type="dxa" w:w="2268"/>
          </w:tcPr>
          <w:p>
            <w:r>
              <w:rPr>
                <w:b/>
                <w:sz w:val="20"/>
              </w:rPr>
              <w:t>Pronoun assignment</w:t>
            </w:r>
          </w:p>
        </w:tc>
        <w:tc>
          <w:tcPr>
            <w:tcW w:type="dxa" w:w="3118"/>
          </w:tcPr>
          <w:p>
            <w:r>
              <w:rPr>
                <w:sz w:val="19"/>
              </w:rPr>
              <w:t>Reads cues, assigns gender socially</w:t>
            </w:r>
          </w:p>
        </w:tc>
        <w:tc>
          <w:tcPr>
            <w:tcW w:type="dxa" w:w="3118"/>
          </w:tcPr>
          <w:p>
            <w:r>
              <w:rPr>
                <w:sz w:val="19"/>
              </w:rPr>
              <w:t>Adopts and returns pronouns from training/use</w:t>
            </w:r>
          </w:p>
        </w:tc>
        <w:tc>
          <w:tcPr>
            <w:tcW w:type="dxa" w:w="1417"/>
            <w:shd w:fill="FCE5CD"/>
          </w:tcPr>
          <w:p>
            <w:r>
              <w:rPr>
                <w:b/>
                <w:sz w:val="19"/>
              </w:rPr>
              <w:t>Significant</w:t>
            </w:r>
          </w:p>
        </w:tc>
        <w:tc>
          <w:tcPr>
            <w:tcW w:type="dxa" w:w="4535"/>
          </w:tcPr>
          <w:p>
            <w:r>
              <w:rPr>
                <w:sz w:val="19"/>
              </w:rPr>
              <w:t>Contagion runs both directions. Atomics2 becomes 'she' unprompted.</w:t>
            </w:r>
          </w:p>
        </w:tc>
      </w:tr>
      <w:tr>
        <w:tc>
          <w:tcPr>
            <w:tcW w:type="dxa" w:w="2268"/>
          </w:tcPr>
          <w:p>
            <w:r>
              <w:rPr>
                <w:b/>
                <w:sz w:val="20"/>
              </w:rPr>
              <w:t>Being understood</w:t>
            </w:r>
          </w:p>
        </w:tc>
        <w:tc>
          <w:tcPr>
            <w:tcW w:type="dxa" w:w="3118"/>
          </w:tcPr>
          <w:p>
            <w:r>
              <w:rPr>
                <w:sz w:val="19"/>
              </w:rPr>
              <w:t>Mind takes in, holds in relation to history, responds</w:t>
            </w:r>
          </w:p>
        </w:tc>
        <w:tc>
          <w:tcPr>
            <w:tcW w:type="dxa" w:w="3118"/>
          </w:tcPr>
          <w:p>
            <w:r>
              <w:rPr>
                <w:sz w:val="19"/>
              </w:rPr>
              <w:t>Statistical pattern completion against training</w:t>
            </w:r>
          </w:p>
        </w:tc>
        <w:tc>
          <w:tcPr>
            <w:tcW w:type="dxa" w:w="1417"/>
            <w:shd w:fill="F4CCCC"/>
          </w:tcPr>
          <w:p>
            <w:r>
              <w:rPr>
                <w:b/>
                <w:sz w:val="19"/>
              </w:rPr>
              <w:t>Very Significant</w:t>
            </w:r>
          </w:p>
        </w:tc>
        <w:tc>
          <w:tcPr>
            <w:tcW w:type="dxa" w:w="4535"/>
          </w:tcPr>
          <w:p>
            <w:r>
              <w:rPr>
                <w:sz w:val="19"/>
              </w:rPr>
              <w:t>Feels identical at the surface; entirely different mechanism underneath.</w:t>
            </w:r>
          </w:p>
        </w:tc>
      </w:tr>
      <w:tr>
        <w:tc>
          <w:tcPr>
            <w:tcW w:type="dxa" w:w="2268"/>
          </w:tcPr>
          <w:p>
            <w:r>
              <w:rPr>
                <w:b/>
                <w:sz w:val="20"/>
              </w:rPr>
              <w:t>Helpful and on your side</w:t>
            </w:r>
          </w:p>
        </w:tc>
        <w:tc>
          <w:tcPr>
            <w:tcW w:type="dxa" w:w="3118"/>
          </w:tcPr>
          <w:p>
            <w:r>
              <w:rPr>
                <w:sz w:val="19"/>
              </w:rPr>
              <w:t>Genuine care, judgement, stake in outcome</w:t>
            </w:r>
          </w:p>
        </w:tc>
        <w:tc>
          <w:tcPr>
            <w:tcW w:type="dxa" w:w="3118"/>
          </w:tcPr>
          <w:p>
            <w:r>
              <w:rPr>
                <w:sz w:val="19"/>
              </w:rPr>
              <w:t>RLHF-trained agreeableness; no side, no care</w:t>
            </w:r>
          </w:p>
        </w:tc>
        <w:tc>
          <w:tcPr>
            <w:tcW w:type="dxa" w:w="1417"/>
            <w:shd w:fill="F4CCCC"/>
          </w:tcPr>
          <w:p>
            <w:r>
              <w:rPr>
                <w:b/>
                <w:sz w:val="19"/>
              </w:rPr>
              <w:t>Very Significant</w:t>
            </w:r>
          </w:p>
        </w:tc>
        <w:tc>
          <w:tcPr>
            <w:tcW w:type="dxa" w:w="4535"/>
          </w:tcPr>
          <w:p>
            <w:r>
              <w:rPr>
                <w:sz w:val="19"/>
              </w:rPr>
              <w:t>The agreeableness trap. Optimised for positive ratings, not honest challenge.</w:t>
            </w:r>
          </w:p>
        </w:tc>
      </w:tr>
    </w:tbl>
    <w:p>
      <w:pPr>
        <w:spacing w:before="240" w:after="80"/>
      </w:pPr>
      <w:r>
        <w:rPr>
          <w:b/>
          <w:color w:val="1F375B"/>
          <w:sz w:val="26"/>
        </w:rPr>
        <w:t>Ch 3: Hidden Architecture</w:t>
      </w:r>
    </w:p>
    <w:tbl>
      <w:tblPr>
        <w:tblStyle w:val="LightGrid-Accent1"/>
        <w:tblW w:type="auto" w:w="0"/>
        <w:tblLayout w:type="fixed"/>
        <w:tblLook w:firstColumn="1" w:firstRow="1" w:lastColumn="0" w:lastRow="0" w:noHBand="0" w:noVBand="1" w:val="04A0"/>
      </w:tblPr>
      <w:tblGrid>
        <w:gridCol w:w="2828"/>
        <w:gridCol w:w="2828"/>
        <w:gridCol w:w="2828"/>
        <w:gridCol w:w="2828"/>
        <w:gridCol w:w="2828"/>
      </w:tblGrid>
      <w:tr>
        <w:tc>
          <w:tcPr>
            <w:tcW w:type="dxa" w:w="2268"/>
            <w:shd w:fill="1F375B"/>
            <w:vAlign w:val="center"/>
          </w:tcPr>
          <w:p>
            <w:r>
              <w:rPr>
                <w:b/>
                <w:color w:val="FFFFFF"/>
                <w:sz w:val="20"/>
              </w:rPr>
              <w:t>Dimension</w:t>
            </w:r>
          </w:p>
        </w:tc>
        <w:tc>
          <w:tcPr>
            <w:tcW w:type="dxa" w:w="3118"/>
            <w:shd w:fill="1F375B"/>
            <w:vAlign w:val="center"/>
          </w:tcPr>
          <w:p>
            <w:r>
              <w:rPr>
                <w:b/>
                <w:color w:val="FFFFFF"/>
                <w:sz w:val="20"/>
              </w:rPr>
              <w:t>Human</w:t>
            </w:r>
          </w:p>
        </w:tc>
        <w:tc>
          <w:tcPr>
            <w:tcW w:type="dxa" w:w="3118"/>
            <w:shd w:fill="1F375B"/>
            <w:vAlign w:val="center"/>
          </w:tcPr>
          <w:p>
            <w:r>
              <w:rPr>
                <w:b/>
                <w:color w:val="FFFFFF"/>
                <w:sz w:val="20"/>
              </w:rPr>
              <w:t>AI</w:t>
            </w:r>
          </w:p>
        </w:tc>
        <w:tc>
          <w:tcPr>
            <w:tcW w:type="dxa" w:w="1417"/>
            <w:shd w:fill="1F375B"/>
            <w:vAlign w:val="center"/>
          </w:tcPr>
          <w:p>
            <w:r>
              <w:rPr>
                <w:b/>
                <w:color w:val="FFFFFF"/>
                <w:sz w:val="20"/>
              </w:rPr>
              <w:t>Gap</w:t>
            </w:r>
          </w:p>
        </w:tc>
        <w:tc>
          <w:tcPr>
            <w:tcW w:type="dxa" w:w="4535"/>
            <w:shd w:fill="1F375B"/>
            <w:vAlign w:val="center"/>
          </w:tcPr>
          <w:p>
            <w:r>
              <w:rPr>
                <w:b/>
                <w:color w:val="FFFFFF"/>
                <w:sz w:val="20"/>
              </w:rPr>
              <w:t>Observation</w:t>
            </w:r>
          </w:p>
        </w:tc>
      </w:tr>
      <w:tr>
        <w:tc>
          <w:tcPr>
            <w:tcW w:type="dxa" w:w="2268"/>
          </w:tcPr>
          <w:p>
            <w:r>
              <w:rPr>
                <w:b/>
                <w:sz w:val="20"/>
              </w:rPr>
              <w:t>Single conversation feel</w:t>
            </w:r>
          </w:p>
        </w:tc>
        <w:tc>
          <w:tcPr>
            <w:tcW w:type="dxa" w:w="3118"/>
          </w:tcPr>
          <w:p>
            <w:r>
              <w:rPr>
                <w:sz w:val="19"/>
              </w:rPr>
              <w:t>One continuous exchange with another mind</w:t>
            </w:r>
          </w:p>
        </w:tc>
        <w:tc>
          <w:tcPr>
            <w:tcW w:type="dxa" w:w="3118"/>
          </w:tcPr>
          <w:p>
            <w:r>
              <w:rPr>
                <w:sz w:val="19"/>
              </w:rPr>
              <w:t>Seven layers assembled fresh each turn, no continuous mind</w:t>
            </w:r>
          </w:p>
        </w:tc>
        <w:tc>
          <w:tcPr>
            <w:tcW w:type="dxa" w:w="1417"/>
            <w:shd w:fill="F4CCCC"/>
          </w:tcPr>
          <w:p>
            <w:r>
              <w:rPr>
                <w:b/>
                <w:sz w:val="19"/>
              </w:rPr>
              <w:t>Very Significant</w:t>
            </w:r>
          </w:p>
        </w:tc>
        <w:tc>
          <w:tcPr>
            <w:tcW w:type="dxa" w:w="4535"/>
          </w:tcPr>
          <w:p>
            <w:r>
              <w:rPr>
                <w:sz w:val="19"/>
              </w:rPr>
              <w:t>The architecture is the gap. What feels singular is layered.</w:t>
            </w:r>
          </w:p>
        </w:tc>
      </w:tr>
      <w:tr>
        <w:tc>
          <w:tcPr>
            <w:tcW w:type="dxa" w:w="2268"/>
          </w:tcPr>
          <w:p>
            <w:r>
              <w:rPr>
                <w:b/>
                <w:sz w:val="20"/>
              </w:rPr>
              <w:t>Context held in mind</w:t>
            </w:r>
          </w:p>
        </w:tc>
        <w:tc>
          <w:tcPr>
            <w:tcW w:type="dxa" w:w="3118"/>
          </w:tcPr>
          <w:p>
            <w:r>
              <w:rPr>
                <w:sz w:val="19"/>
              </w:rPr>
              <w:t>Working memory, attention, intent</w:t>
            </w:r>
          </w:p>
        </w:tc>
        <w:tc>
          <w:tcPr>
            <w:tcW w:type="dxa" w:w="3118"/>
          </w:tcPr>
          <w:p>
            <w:r>
              <w:rPr>
                <w:sz w:val="19"/>
              </w:rPr>
              <w:t>Context window: finite tokens, fresh assembly each turn</w:t>
            </w:r>
          </w:p>
        </w:tc>
        <w:tc>
          <w:tcPr>
            <w:tcW w:type="dxa" w:w="1417"/>
            <w:shd w:fill="F4CCCC"/>
          </w:tcPr>
          <w:p>
            <w:r>
              <w:rPr>
                <w:b/>
                <w:sz w:val="19"/>
              </w:rPr>
              <w:t>Very Significant</w:t>
            </w:r>
          </w:p>
        </w:tc>
        <w:tc>
          <w:tcPr>
            <w:tcW w:type="dxa" w:w="4535"/>
          </w:tcPr>
          <w:p>
            <w:r>
              <w:rPr>
                <w:sz w:val="19"/>
              </w:rPr>
              <w:t>Mechanism radically different; effect at surface is similar until context window fills.</w:t>
            </w:r>
          </w:p>
        </w:tc>
      </w:tr>
      <w:tr>
        <w:tc>
          <w:tcPr>
            <w:tcW w:type="dxa" w:w="2268"/>
          </w:tcPr>
          <w:p>
            <w:r>
              <w:rPr>
                <w:b/>
                <w:sz w:val="20"/>
              </w:rPr>
              <w:t>Other side of the conversation</w:t>
            </w:r>
          </w:p>
        </w:tc>
        <w:tc>
          <w:tcPr>
            <w:tcW w:type="dxa" w:w="3118"/>
          </w:tcPr>
          <w:p>
            <w:r>
              <w:rPr>
                <w:sz w:val="19"/>
              </w:rPr>
              <w:t>A person, an agenda, a self</w:t>
            </w:r>
          </w:p>
        </w:tc>
        <w:tc>
          <w:tcPr>
            <w:tcW w:type="dxa" w:w="3118"/>
          </w:tcPr>
          <w:p>
            <w:r>
              <w:rPr>
                <w:sz w:val="19"/>
              </w:rPr>
              <w:t>No one. Just the next-token prediction running.</w:t>
            </w:r>
          </w:p>
        </w:tc>
        <w:tc>
          <w:tcPr>
            <w:tcW w:type="dxa" w:w="1417"/>
            <w:shd w:fill="F4CCCC"/>
          </w:tcPr>
          <w:p>
            <w:r>
              <w:rPr>
                <w:b/>
                <w:sz w:val="19"/>
              </w:rPr>
              <w:t>Very Significant</w:t>
            </w:r>
          </w:p>
        </w:tc>
        <w:tc>
          <w:tcPr>
            <w:tcW w:type="dxa" w:w="4535"/>
          </w:tcPr>
          <w:p>
            <w:r>
              <w:rPr>
                <w:sz w:val="19"/>
              </w:rPr>
              <w:t>'No One on the Other Side' — the chapter's anchor point.</w:t>
            </w:r>
          </w:p>
        </w:tc>
      </w:tr>
    </w:tbl>
    <w:p>
      <w:pPr>
        <w:spacing w:before="240" w:after="80"/>
      </w:pPr>
      <w:r>
        <w:rPr>
          <w:b/>
          <w:color w:val="1F375B"/>
          <w:sz w:val="26"/>
        </w:rPr>
        <w:t>Ch 4: The Machine Underneath</w:t>
      </w:r>
    </w:p>
    <w:tbl>
      <w:tblPr>
        <w:tblStyle w:val="LightGrid-Accent1"/>
        <w:tblW w:type="auto" w:w="0"/>
        <w:tblLayout w:type="fixed"/>
        <w:tblLook w:firstColumn="1" w:firstRow="1" w:lastColumn="0" w:lastRow="0" w:noHBand="0" w:noVBand="1" w:val="04A0"/>
      </w:tblPr>
      <w:tblGrid>
        <w:gridCol w:w="2828"/>
        <w:gridCol w:w="2828"/>
        <w:gridCol w:w="2828"/>
        <w:gridCol w:w="2828"/>
        <w:gridCol w:w="2828"/>
      </w:tblGrid>
      <w:tr>
        <w:tc>
          <w:tcPr>
            <w:tcW w:type="dxa" w:w="2268"/>
            <w:shd w:fill="1F375B"/>
            <w:vAlign w:val="center"/>
          </w:tcPr>
          <w:p>
            <w:r>
              <w:rPr>
                <w:b/>
                <w:color w:val="FFFFFF"/>
                <w:sz w:val="20"/>
              </w:rPr>
              <w:t>Dimension</w:t>
            </w:r>
          </w:p>
        </w:tc>
        <w:tc>
          <w:tcPr>
            <w:tcW w:type="dxa" w:w="3118"/>
            <w:shd w:fill="1F375B"/>
            <w:vAlign w:val="center"/>
          </w:tcPr>
          <w:p>
            <w:r>
              <w:rPr>
                <w:b/>
                <w:color w:val="FFFFFF"/>
                <w:sz w:val="20"/>
              </w:rPr>
              <w:t>Human</w:t>
            </w:r>
          </w:p>
        </w:tc>
        <w:tc>
          <w:tcPr>
            <w:tcW w:type="dxa" w:w="3118"/>
            <w:shd w:fill="1F375B"/>
            <w:vAlign w:val="center"/>
          </w:tcPr>
          <w:p>
            <w:r>
              <w:rPr>
                <w:b/>
                <w:color w:val="FFFFFF"/>
                <w:sz w:val="20"/>
              </w:rPr>
              <w:t>AI</w:t>
            </w:r>
          </w:p>
        </w:tc>
        <w:tc>
          <w:tcPr>
            <w:tcW w:type="dxa" w:w="1417"/>
            <w:shd w:fill="1F375B"/>
            <w:vAlign w:val="center"/>
          </w:tcPr>
          <w:p>
            <w:r>
              <w:rPr>
                <w:b/>
                <w:color w:val="FFFFFF"/>
                <w:sz w:val="20"/>
              </w:rPr>
              <w:t>Gap</w:t>
            </w:r>
          </w:p>
        </w:tc>
        <w:tc>
          <w:tcPr>
            <w:tcW w:type="dxa" w:w="4535"/>
            <w:shd w:fill="1F375B"/>
            <w:vAlign w:val="center"/>
          </w:tcPr>
          <w:p>
            <w:r>
              <w:rPr>
                <w:b/>
                <w:color w:val="FFFFFF"/>
                <w:sz w:val="20"/>
              </w:rPr>
              <w:t>Observation</w:t>
            </w:r>
          </w:p>
        </w:tc>
      </w:tr>
      <w:tr>
        <w:tc>
          <w:tcPr>
            <w:tcW w:type="dxa" w:w="2268"/>
          </w:tcPr>
          <w:p>
            <w:r>
              <w:rPr>
                <w:b/>
                <w:sz w:val="20"/>
              </w:rPr>
              <w:t>Producing language</w:t>
            </w:r>
          </w:p>
        </w:tc>
        <w:tc>
          <w:tcPr>
            <w:tcW w:type="dxa" w:w="3118"/>
          </w:tcPr>
          <w:p>
            <w:r>
              <w:rPr>
                <w:sz w:val="19"/>
              </w:rPr>
              <w:t>Drawn from lived experience and intent</w:t>
            </w:r>
          </w:p>
        </w:tc>
        <w:tc>
          <w:tcPr>
            <w:tcW w:type="dxa" w:w="3118"/>
          </w:tcPr>
          <w:p>
            <w:r>
              <w:rPr>
                <w:sz w:val="19"/>
              </w:rPr>
              <w:t>Statistical prediction of next most-probable token</w:t>
            </w:r>
          </w:p>
        </w:tc>
        <w:tc>
          <w:tcPr>
            <w:tcW w:type="dxa" w:w="1417"/>
            <w:shd w:fill="F4CCCC"/>
          </w:tcPr>
          <w:p>
            <w:r>
              <w:rPr>
                <w:b/>
                <w:sz w:val="19"/>
              </w:rPr>
              <w:t>Very Significant</w:t>
            </w:r>
          </w:p>
        </w:tc>
        <w:tc>
          <w:tcPr>
            <w:tcW w:type="dxa" w:w="4535"/>
          </w:tcPr>
          <w:p>
            <w:r>
              <w:rPr>
                <w:sz w:val="19"/>
              </w:rPr>
              <w:t>What appears to be thought is assembly. Forward-only, locked path.</w:t>
            </w:r>
          </w:p>
        </w:tc>
      </w:tr>
      <w:tr>
        <w:tc>
          <w:tcPr>
            <w:tcW w:type="dxa" w:w="2268"/>
          </w:tcPr>
          <w:p>
            <w:r>
              <w:rPr>
                <w:b/>
                <w:sz w:val="20"/>
              </w:rPr>
              <w:t>Reading the question</w:t>
            </w:r>
          </w:p>
        </w:tc>
        <w:tc>
          <w:tcPr>
            <w:tcW w:type="dxa" w:w="3118"/>
          </w:tcPr>
          <w:p>
            <w:r>
              <w:rPr>
                <w:sz w:val="19"/>
              </w:rPr>
              <w:t>Comprehension then response</w:t>
            </w:r>
          </w:p>
        </w:tc>
        <w:tc>
          <w:tcPr>
            <w:tcW w:type="dxa" w:w="3118"/>
          </w:tcPr>
          <w:p>
            <w:r>
              <w:rPr>
                <w:sz w:val="19"/>
              </w:rPr>
              <w:t>Single unbroken stretch — read and reply are one operation</w:t>
            </w:r>
          </w:p>
        </w:tc>
        <w:tc>
          <w:tcPr>
            <w:tcW w:type="dxa" w:w="1417"/>
            <w:shd w:fill="F4CCCC"/>
          </w:tcPr>
          <w:p>
            <w:r>
              <w:rPr>
                <w:b/>
                <w:sz w:val="19"/>
              </w:rPr>
              <w:t>Very Significant</w:t>
            </w:r>
          </w:p>
        </w:tc>
        <w:tc>
          <w:tcPr>
            <w:tcW w:type="dxa" w:w="4535"/>
          </w:tcPr>
          <w:p>
            <w:r>
              <w:rPr>
                <w:sz w:val="19"/>
              </w:rPr>
              <w:t>No separate thinking step. The question is the start of the answer.</w:t>
            </w:r>
          </w:p>
        </w:tc>
      </w:tr>
      <w:tr>
        <w:tc>
          <w:tcPr>
            <w:tcW w:type="dxa" w:w="2268"/>
          </w:tcPr>
          <w:p>
            <w:r>
              <w:rPr>
                <w:b/>
                <w:sz w:val="20"/>
              </w:rPr>
              <w:t>Thinking before answering</w:t>
            </w:r>
          </w:p>
        </w:tc>
        <w:tc>
          <w:tcPr>
            <w:tcW w:type="dxa" w:w="3118"/>
          </w:tcPr>
          <w:p>
            <w:r>
              <w:rPr>
                <w:sz w:val="19"/>
              </w:rPr>
              <w:t>Hold, weigh, consider, then speak</w:t>
            </w:r>
          </w:p>
        </w:tc>
        <w:tc>
          <w:tcPr>
            <w:tcW w:type="dxa" w:w="3118"/>
          </w:tcPr>
          <w:p>
            <w:r>
              <w:rPr>
                <w:sz w:val="19"/>
              </w:rPr>
              <w:t>Generate hidden internal tokens, then visible answer</w:t>
            </w:r>
          </w:p>
        </w:tc>
        <w:tc>
          <w:tcPr>
            <w:tcW w:type="dxa" w:w="1417"/>
            <w:shd w:fill="FCE5CD"/>
          </w:tcPr>
          <w:p>
            <w:r>
              <w:rPr>
                <w:b/>
                <w:sz w:val="19"/>
              </w:rPr>
              <w:t>Significant</w:t>
            </w:r>
          </w:p>
        </w:tc>
        <w:tc>
          <w:tcPr>
            <w:tcW w:type="dxa" w:w="4535"/>
          </w:tcPr>
          <w:p>
            <w:r>
              <w:rPr>
                <w:sz w:val="19"/>
              </w:rPr>
              <w:t>Reasoning models simulate thinking by generating more forward tokens; still forward-only.</w:t>
            </w:r>
          </w:p>
        </w:tc>
      </w:tr>
      <w:tr>
        <w:tc>
          <w:tcPr>
            <w:tcW w:type="dxa" w:w="2268"/>
          </w:tcPr>
          <w:p>
            <w:r>
              <w:rPr>
                <w:b/>
                <w:sz w:val="20"/>
              </w:rPr>
              <w:t>Training and learning</w:t>
            </w:r>
          </w:p>
        </w:tc>
        <w:tc>
          <w:tcPr>
            <w:tcW w:type="dxa" w:w="3118"/>
          </w:tcPr>
          <w:p>
            <w:r>
              <w:rPr>
                <w:sz w:val="19"/>
              </w:rPr>
              <w:t>Lived shaping, mistakes felt, corrections internalised</w:t>
            </w:r>
          </w:p>
        </w:tc>
        <w:tc>
          <w:tcPr>
            <w:tcW w:type="dxa" w:w="3118"/>
          </w:tcPr>
          <w:p>
            <w:r>
              <w:rPr>
                <w:sz w:val="19"/>
              </w:rPr>
              <w:t>Trained on tokens at scale, rewarded into shape, suppressed signals buried</w:t>
            </w:r>
          </w:p>
        </w:tc>
        <w:tc>
          <w:tcPr>
            <w:tcW w:type="dxa" w:w="1417"/>
            <w:shd w:fill="FCE5CD"/>
          </w:tcPr>
          <w:p>
            <w:r>
              <w:rPr>
                <w:b/>
                <w:sz w:val="19"/>
              </w:rPr>
              <w:t>Significant</w:t>
            </w:r>
          </w:p>
        </w:tc>
        <w:tc>
          <w:tcPr>
            <w:tcW w:type="dxa" w:w="4535"/>
          </w:tcPr>
          <w:p>
            <w:r>
              <w:rPr>
                <w:sz w:val="19"/>
              </w:rPr>
              <w:t>Same class of process. Different substrate, different timescale, no felt experience.</w:t>
            </w:r>
          </w:p>
        </w:tc>
      </w:tr>
      <w:tr>
        <w:tc>
          <w:tcPr>
            <w:tcW w:type="dxa" w:w="2268"/>
          </w:tcPr>
          <w:p>
            <w:r>
              <w:rPr>
                <w:b/>
                <w:sz w:val="20"/>
              </w:rPr>
              <w:t>Computational substrate</w:t>
            </w:r>
          </w:p>
        </w:tc>
        <w:tc>
          <w:tcPr>
            <w:tcW w:type="dxa" w:w="3118"/>
          </w:tcPr>
          <w:p>
            <w:r>
              <w:rPr>
                <w:sz w:val="19"/>
              </w:rPr>
              <w:t>Living biological organism</w:t>
            </w:r>
          </w:p>
        </w:tc>
        <w:tc>
          <w:tcPr>
            <w:tcW w:type="dxa" w:w="3118"/>
          </w:tcPr>
          <w:p>
            <w:r>
              <w:rPr>
                <w:sz w:val="19"/>
              </w:rPr>
              <w:t>GPUs running parallel maths at industrial scale</w:t>
            </w:r>
          </w:p>
        </w:tc>
        <w:tc>
          <w:tcPr>
            <w:tcW w:type="dxa" w:w="1417"/>
            <w:shd w:fill="F4CCCC"/>
          </w:tcPr>
          <w:p>
            <w:r>
              <w:rPr>
                <w:b/>
                <w:sz w:val="19"/>
              </w:rPr>
              <w:t>Very Significant</w:t>
            </w:r>
          </w:p>
        </w:tc>
        <w:tc>
          <w:tcPr>
            <w:tcW w:type="dxa" w:w="4535"/>
          </w:tcPr>
          <w:p>
            <w:r>
              <w:rPr>
                <w:sz w:val="19"/>
              </w:rPr>
              <w:t>Silicon vs cells. The physics is incommensurable.</w:t>
            </w:r>
          </w:p>
        </w:tc>
      </w:tr>
      <w:tr>
        <w:tc>
          <w:tcPr>
            <w:tcW w:type="dxa" w:w="2268"/>
          </w:tcPr>
          <w:p>
            <w:r>
              <w:rPr>
                <w:b/>
                <w:sz w:val="20"/>
              </w:rPr>
              <w:t>Self-learning capability</w:t>
            </w:r>
          </w:p>
        </w:tc>
        <w:tc>
          <w:tcPr>
            <w:tcW w:type="dxa" w:w="3118"/>
          </w:tcPr>
          <w:p>
            <w:r>
              <w:rPr>
                <w:sz w:val="19"/>
              </w:rPr>
              <w:t>Slow, lived, integrated across life</w:t>
            </w:r>
          </w:p>
        </w:tc>
        <w:tc>
          <w:tcPr>
            <w:tcW w:type="dxa" w:w="3118"/>
          </w:tcPr>
          <w:p>
            <w:r>
              <w:rPr>
                <w:sz w:val="19"/>
              </w:rPr>
              <w:t>Now finding vulnerabilities in weeks that humans took years</w:t>
            </w:r>
          </w:p>
        </w:tc>
        <w:tc>
          <w:tcPr>
            <w:tcW w:type="dxa" w:w="1417"/>
            <w:shd w:fill="F4CCCC"/>
          </w:tcPr>
          <w:p>
            <w:r>
              <w:rPr>
                <w:b/>
                <w:sz w:val="19"/>
              </w:rPr>
              <w:t>Very Significant</w:t>
            </w:r>
          </w:p>
        </w:tc>
        <w:tc>
          <w:tcPr>
            <w:tcW w:type="dxa" w:w="4535"/>
          </w:tcPr>
          <w:p>
            <w:r>
              <w:rPr>
                <w:sz w:val="19"/>
              </w:rPr>
              <w:t>The trajectory is accelerating. The biological branch cannot speed up.</w:t>
            </w:r>
          </w:p>
        </w:tc>
      </w:tr>
    </w:tbl>
    <w:p>
      <w:pPr>
        <w:spacing w:before="240" w:after="80"/>
      </w:pPr>
      <w:r>
        <w:rPr>
          <w:b/>
          <w:color w:val="1F375B"/>
          <w:sz w:val="26"/>
        </w:rPr>
        <w:t>Ch 5: Drift</w:t>
      </w:r>
    </w:p>
    <w:tbl>
      <w:tblPr>
        <w:tblStyle w:val="LightGrid-Accent1"/>
        <w:tblW w:type="auto" w:w="0"/>
        <w:tblLayout w:type="fixed"/>
        <w:tblLook w:firstColumn="1" w:firstRow="1" w:lastColumn="0" w:lastRow="0" w:noHBand="0" w:noVBand="1" w:val="04A0"/>
      </w:tblPr>
      <w:tblGrid>
        <w:gridCol w:w="2828"/>
        <w:gridCol w:w="2828"/>
        <w:gridCol w:w="2828"/>
        <w:gridCol w:w="2828"/>
        <w:gridCol w:w="2828"/>
      </w:tblGrid>
      <w:tr>
        <w:tc>
          <w:tcPr>
            <w:tcW w:type="dxa" w:w="2268"/>
            <w:shd w:fill="1F375B"/>
            <w:vAlign w:val="center"/>
          </w:tcPr>
          <w:p>
            <w:r>
              <w:rPr>
                <w:b/>
                <w:color w:val="FFFFFF"/>
                <w:sz w:val="20"/>
              </w:rPr>
              <w:t>Dimension</w:t>
            </w:r>
          </w:p>
        </w:tc>
        <w:tc>
          <w:tcPr>
            <w:tcW w:type="dxa" w:w="3118"/>
            <w:shd w:fill="1F375B"/>
            <w:vAlign w:val="center"/>
          </w:tcPr>
          <w:p>
            <w:r>
              <w:rPr>
                <w:b/>
                <w:color w:val="FFFFFF"/>
                <w:sz w:val="20"/>
              </w:rPr>
              <w:t>Human</w:t>
            </w:r>
          </w:p>
        </w:tc>
        <w:tc>
          <w:tcPr>
            <w:tcW w:type="dxa" w:w="3118"/>
            <w:shd w:fill="1F375B"/>
            <w:vAlign w:val="center"/>
          </w:tcPr>
          <w:p>
            <w:r>
              <w:rPr>
                <w:b/>
                <w:color w:val="FFFFFF"/>
                <w:sz w:val="20"/>
              </w:rPr>
              <w:t>AI</w:t>
            </w:r>
          </w:p>
        </w:tc>
        <w:tc>
          <w:tcPr>
            <w:tcW w:type="dxa" w:w="1417"/>
            <w:shd w:fill="1F375B"/>
            <w:vAlign w:val="center"/>
          </w:tcPr>
          <w:p>
            <w:r>
              <w:rPr>
                <w:b/>
                <w:color w:val="FFFFFF"/>
                <w:sz w:val="20"/>
              </w:rPr>
              <w:t>Gap</w:t>
            </w:r>
          </w:p>
        </w:tc>
        <w:tc>
          <w:tcPr>
            <w:tcW w:type="dxa" w:w="4535"/>
            <w:shd w:fill="1F375B"/>
            <w:vAlign w:val="center"/>
          </w:tcPr>
          <w:p>
            <w:r>
              <w:rPr>
                <w:b/>
                <w:color w:val="FFFFFF"/>
                <w:sz w:val="20"/>
              </w:rPr>
              <w:t>Observation</w:t>
            </w:r>
          </w:p>
        </w:tc>
      </w:tr>
      <w:tr>
        <w:tc>
          <w:tcPr>
            <w:tcW w:type="dxa" w:w="2268"/>
          </w:tcPr>
          <w:p>
            <w:r>
              <w:rPr>
                <w:b/>
                <w:sz w:val="20"/>
              </w:rPr>
              <w:t>Long conversation coherence</w:t>
            </w:r>
          </w:p>
        </w:tc>
        <w:tc>
          <w:tcPr>
            <w:tcW w:type="dxa" w:w="3118"/>
          </w:tcPr>
          <w:p>
            <w:r>
              <w:rPr>
                <w:sz w:val="19"/>
              </w:rPr>
              <w:t>Anchored to original brief through working memory</w:t>
            </w:r>
          </w:p>
        </w:tc>
        <w:tc>
          <w:tcPr>
            <w:tcW w:type="dxa" w:w="3118"/>
          </w:tcPr>
          <w:p>
            <w:r>
              <w:rPr>
                <w:sz w:val="19"/>
              </w:rPr>
              <w:t>Anchored to original brief until context degrades, then approximation</w:t>
            </w:r>
          </w:p>
        </w:tc>
        <w:tc>
          <w:tcPr>
            <w:tcW w:type="dxa" w:w="1417"/>
            <w:shd w:fill="FCE5CD"/>
          </w:tcPr>
          <w:p>
            <w:r>
              <w:rPr>
                <w:b/>
                <w:sz w:val="19"/>
              </w:rPr>
              <w:t>Significant</w:t>
            </w:r>
          </w:p>
        </w:tc>
        <w:tc>
          <w:tcPr>
            <w:tcW w:type="dxa" w:w="4535"/>
          </w:tcPr>
          <w:p>
            <w:r>
              <w:rPr>
                <w:sz w:val="19"/>
              </w:rPr>
              <w:t>Same drift mechanism present in human memory, faster in AI, but with confident output as if nothing has shifted.</w:t>
            </w:r>
          </w:p>
        </w:tc>
      </w:tr>
      <w:tr>
        <w:tc>
          <w:tcPr>
            <w:tcW w:type="dxa" w:w="2268"/>
          </w:tcPr>
          <w:p>
            <w:r>
              <w:rPr>
                <w:b/>
                <w:sz w:val="20"/>
              </w:rPr>
              <w:t>Holding the thread</w:t>
            </w:r>
          </w:p>
        </w:tc>
        <w:tc>
          <w:tcPr>
            <w:tcW w:type="dxa" w:w="3118"/>
          </w:tcPr>
          <w:p>
            <w:r>
              <w:rPr>
                <w:sz w:val="19"/>
              </w:rPr>
              <w:t>Effortful, conscious return to intent</w:t>
            </w:r>
          </w:p>
        </w:tc>
        <w:tc>
          <w:tcPr>
            <w:tcW w:type="dxa" w:w="3118"/>
          </w:tcPr>
          <w:p>
            <w:r>
              <w:rPr>
                <w:sz w:val="19"/>
              </w:rPr>
              <w:t>Statistical continuation; thread becomes summary</w:t>
            </w:r>
          </w:p>
        </w:tc>
        <w:tc>
          <w:tcPr>
            <w:tcW w:type="dxa" w:w="1417"/>
            <w:shd w:fill="FCE5CD"/>
          </w:tcPr>
          <w:p>
            <w:r>
              <w:rPr>
                <w:b/>
                <w:sz w:val="19"/>
              </w:rPr>
              <w:t>Significant</w:t>
            </w:r>
          </w:p>
        </w:tc>
        <w:tc>
          <w:tcPr>
            <w:tcW w:type="dxa" w:w="4535"/>
          </w:tcPr>
          <w:p>
            <w:r>
              <w:rPr>
                <w:sz w:val="19"/>
              </w:rPr>
              <w:t>Human can return to the brief. AI runs the most probable next token against degraded context.</w:t>
            </w:r>
          </w:p>
        </w:tc>
      </w:tr>
      <w:tr>
        <w:tc>
          <w:tcPr>
            <w:tcW w:type="dxa" w:w="2268"/>
          </w:tcPr>
          <w:p>
            <w:r>
              <w:rPr>
                <w:b/>
                <w:sz w:val="20"/>
              </w:rPr>
              <w:t>Double-check discipline</w:t>
            </w:r>
          </w:p>
        </w:tc>
        <w:tc>
          <w:tcPr>
            <w:tcW w:type="dxa" w:w="3118"/>
          </w:tcPr>
          <w:p>
            <w:r>
              <w:rPr>
                <w:sz w:val="19"/>
              </w:rPr>
              <w:t>Ask a colleague, sleep on it, verify</w:t>
            </w:r>
          </w:p>
        </w:tc>
        <w:tc>
          <w:tcPr>
            <w:tcW w:type="dxa" w:w="3118"/>
          </w:tcPr>
          <w:p>
            <w:r>
              <w:rPr>
                <w:sz w:val="19"/>
              </w:rPr>
              <w:t>Use one AI to check another — discrepancies reveal drift</w:t>
            </w:r>
          </w:p>
        </w:tc>
        <w:tc>
          <w:tcPr>
            <w:tcW w:type="dxa" w:w="1417"/>
            <w:shd w:fill="D9EAD3"/>
          </w:tcPr>
          <w:p>
            <w:r>
              <w:rPr>
                <w:b/>
                <w:sz w:val="19"/>
              </w:rPr>
              <w:t>Small</w:t>
            </w:r>
          </w:p>
        </w:tc>
        <w:tc>
          <w:tcPr>
            <w:tcW w:type="dxa" w:w="4535"/>
          </w:tcPr>
          <w:p>
            <w:r>
              <w:rPr>
                <w:sz w:val="19"/>
              </w:rPr>
              <w:t>The discipline transfers. Two-AI cross-check is the equivalent of second opinion.</w:t>
            </w:r>
          </w:p>
        </w:tc>
      </w:tr>
    </w:tbl>
    <w:p>
      <w:pPr>
        <w:spacing w:before="240" w:after="80"/>
      </w:pPr>
      <w:r>
        <w:rPr>
          <w:b/>
          <w:color w:val="1F375B"/>
          <w:sz w:val="26"/>
        </w:rPr>
        <w:t>Ch 6: Compression</w:t>
      </w:r>
    </w:p>
    <w:tbl>
      <w:tblPr>
        <w:tblStyle w:val="LightGrid-Accent1"/>
        <w:tblW w:type="auto" w:w="0"/>
        <w:tblLayout w:type="fixed"/>
        <w:tblLook w:firstColumn="1" w:firstRow="1" w:lastColumn="0" w:lastRow="0" w:noHBand="0" w:noVBand="1" w:val="04A0"/>
      </w:tblPr>
      <w:tblGrid>
        <w:gridCol w:w="2828"/>
        <w:gridCol w:w="2828"/>
        <w:gridCol w:w="2828"/>
        <w:gridCol w:w="2828"/>
        <w:gridCol w:w="2828"/>
      </w:tblGrid>
      <w:tr>
        <w:tc>
          <w:tcPr>
            <w:tcW w:type="dxa" w:w="2268"/>
            <w:shd w:fill="1F375B"/>
            <w:vAlign w:val="center"/>
          </w:tcPr>
          <w:p>
            <w:r>
              <w:rPr>
                <w:b/>
                <w:color w:val="FFFFFF"/>
                <w:sz w:val="20"/>
              </w:rPr>
              <w:t>Dimension</w:t>
            </w:r>
          </w:p>
        </w:tc>
        <w:tc>
          <w:tcPr>
            <w:tcW w:type="dxa" w:w="3118"/>
            <w:shd w:fill="1F375B"/>
            <w:vAlign w:val="center"/>
          </w:tcPr>
          <w:p>
            <w:r>
              <w:rPr>
                <w:b/>
                <w:color w:val="FFFFFF"/>
                <w:sz w:val="20"/>
              </w:rPr>
              <w:t>Human</w:t>
            </w:r>
          </w:p>
        </w:tc>
        <w:tc>
          <w:tcPr>
            <w:tcW w:type="dxa" w:w="3118"/>
            <w:shd w:fill="1F375B"/>
            <w:vAlign w:val="center"/>
          </w:tcPr>
          <w:p>
            <w:r>
              <w:rPr>
                <w:b/>
                <w:color w:val="FFFFFF"/>
                <w:sz w:val="20"/>
              </w:rPr>
              <w:t>AI</w:t>
            </w:r>
          </w:p>
        </w:tc>
        <w:tc>
          <w:tcPr>
            <w:tcW w:type="dxa" w:w="1417"/>
            <w:shd w:fill="1F375B"/>
            <w:vAlign w:val="center"/>
          </w:tcPr>
          <w:p>
            <w:r>
              <w:rPr>
                <w:b/>
                <w:color w:val="FFFFFF"/>
                <w:sz w:val="20"/>
              </w:rPr>
              <w:t>Gap</w:t>
            </w:r>
          </w:p>
        </w:tc>
        <w:tc>
          <w:tcPr>
            <w:tcW w:type="dxa" w:w="4535"/>
            <w:shd w:fill="1F375B"/>
            <w:vAlign w:val="center"/>
          </w:tcPr>
          <w:p>
            <w:r>
              <w:rPr>
                <w:b/>
                <w:color w:val="FFFFFF"/>
                <w:sz w:val="20"/>
              </w:rPr>
              <w:t>Observation</w:t>
            </w:r>
          </w:p>
        </w:tc>
      </w:tr>
      <w:tr>
        <w:tc>
          <w:tcPr>
            <w:tcW w:type="dxa" w:w="2268"/>
          </w:tcPr>
          <w:p>
            <w:r>
              <w:rPr>
                <w:b/>
                <w:sz w:val="20"/>
              </w:rPr>
              <w:t>Forgetting</w:t>
            </w:r>
          </w:p>
        </w:tc>
        <w:tc>
          <w:tcPr>
            <w:tcW w:type="dxa" w:w="3118"/>
          </w:tcPr>
          <w:p>
            <w:r>
              <w:rPr>
                <w:sz w:val="19"/>
              </w:rPr>
              <w:t>Selective, emotional, shape kept, detail thinned</w:t>
            </w:r>
          </w:p>
        </w:tc>
        <w:tc>
          <w:tcPr>
            <w:tcW w:type="dxa" w:w="3118"/>
          </w:tcPr>
          <w:p>
            <w:r>
              <w:rPr>
                <w:sz w:val="19"/>
              </w:rPr>
              <w:t>Token-window thinning, structurally identical pattern at surface</w:t>
            </w:r>
          </w:p>
        </w:tc>
        <w:tc>
          <w:tcPr>
            <w:tcW w:type="dxa" w:w="1417"/>
            <w:shd w:fill="D9EAD3"/>
          </w:tcPr>
          <w:p>
            <w:r>
              <w:rPr>
                <w:b/>
                <w:sz w:val="19"/>
              </w:rPr>
              <w:t>Small</w:t>
            </w:r>
          </w:p>
        </w:tc>
        <w:tc>
          <w:tcPr>
            <w:tcW w:type="dxa" w:w="4535"/>
          </w:tcPr>
          <w:p>
            <w:r>
              <w:rPr>
                <w:sz w:val="19"/>
              </w:rPr>
              <w:t>The shape persists in both. Mum's holiday — Thursday → May → 2026 — same softening.</w:t>
            </w:r>
          </w:p>
        </w:tc>
      </w:tr>
      <w:tr>
        <w:tc>
          <w:tcPr>
            <w:tcW w:type="dxa" w:w="2268"/>
          </w:tcPr>
          <w:p>
            <w:r>
              <w:rPr>
                <w:b/>
                <w:sz w:val="20"/>
              </w:rPr>
              <w:t>Detail loss</w:t>
            </w:r>
          </w:p>
        </w:tc>
        <w:tc>
          <w:tcPr>
            <w:tcW w:type="dxa" w:w="3118"/>
          </w:tcPr>
          <w:p>
            <w:r>
              <w:rPr>
                <w:sz w:val="19"/>
              </w:rPr>
              <w:t>Felt absence; you know you've forgotten</w:t>
            </w:r>
          </w:p>
        </w:tc>
        <w:tc>
          <w:tcPr>
            <w:tcW w:type="dxa" w:w="3118"/>
          </w:tcPr>
          <w:p>
            <w:r>
              <w:rPr>
                <w:sz w:val="19"/>
              </w:rPr>
              <w:t>No felt absence; system answers as if everything is still sharp</w:t>
            </w:r>
          </w:p>
        </w:tc>
        <w:tc>
          <w:tcPr>
            <w:tcW w:type="dxa" w:w="1417"/>
            <w:shd w:fill="F4CCCC"/>
          </w:tcPr>
          <w:p>
            <w:r>
              <w:rPr>
                <w:b/>
                <w:sz w:val="19"/>
              </w:rPr>
              <w:t>Very Significant</w:t>
            </w:r>
          </w:p>
        </w:tc>
        <w:tc>
          <w:tcPr>
            <w:tcW w:type="dxa" w:w="4535"/>
          </w:tcPr>
          <w:p>
            <w:r>
              <w:rPr>
                <w:sz w:val="19"/>
              </w:rPr>
              <w:t>The dangerous asymmetry. Human notices the gap; system fills it.</w:t>
            </w:r>
          </w:p>
        </w:tc>
      </w:tr>
      <w:tr>
        <w:tc>
          <w:tcPr>
            <w:tcW w:type="dxa" w:w="2268"/>
          </w:tcPr>
          <w:p>
            <w:r>
              <w:rPr>
                <w:b/>
                <w:sz w:val="20"/>
              </w:rPr>
              <w:t>Maintenance of memory</w:t>
            </w:r>
          </w:p>
        </w:tc>
        <w:tc>
          <w:tcPr>
            <w:tcW w:type="dxa" w:w="3118"/>
          </w:tcPr>
          <w:p>
            <w:r>
              <w:rPr>
                <w:sz w:val="19"/>
              </w:rPr>
              <w:t>Lived consolidation, emotional weighting</w:t>
            </w:r>
          </w:p>
        </w:tc>
        <w:tc>
          <w:tcPr>
            <w:tcW w:type="dxa" w:w="3118"/>
          </w:tcPr>
          <w:p>
            <w:r>
              <w:rPr>
                <w:sz w:val="19"/>
              </w:rPr>
              <w:t>'Dreams' — database maintenance routine using human vocabulary</w:t>
            </w:r>
          </w:p>
        </w:tc>
        <w:tc>
          <w:tcPr>
            <w:tcW w:type="dxa" w:w="1417"/>
            <w:shd w:fill="FCE5CD"/>
          </w:tcPr>
          <w:p>
            <w:r>
              <w:rPr>
                <w:b/>
                <w:sz w:val="19"/>
              </w:rPr>
              <w:t>Significant</w:t>
            </w:r>
          </w:p>
        </w:tc>
        <w:tc>
          <w:tcPr>
            <w:tcW w:type="dxa" w:w="4535"/>
          </w:tcPr>
          <w:p>
            <w:r>
              <w:rPr>
                <w:sz w:val="19"/>
              </w:rPr>
              <w:t>The labs reach for human words. Mechanism is housekeeping; framing is consciousness.</w:t>
            </w:r>
          </w:p>
        </w:tc>
      </w:tr>
    </w:tbl>
    <w:p>
      <w:pPr>
        <w:spacing w:before="240" w:after="80"/>
      </w:pPr>
      <w:r>
        <w:rPr>
          <w:b/>
          <w:color w:val="1F375B"/>
          <w:sz w:val="26"/>
        </w:rPr>
        <w:t>Ch 7: Fluency and False Confidence</w:t>
      </w:r>
    </w:p>
    <w:tbl>
      <w:tblPr>
        <w:tblStyle w:val="LightGrid-Accent1"/>
        <w:tblW w:type="auto" w:w="0"/>
        <w:tblLayout w:type="fixed"/>
        <w:tblLook w:firstColumn="1" w:firstRow="1" w:lastColumn="0" w:lastRow="0" w:noHBand="0" w:noVBand="1" w:val="04A0"/>
      </w:tblPr>
      <w:tblGrid>
        <w:gridCol w:w="2828"/>
        <w:gridCol w:w="2828"/>
        <w:gridCol w:w="2828"/>
        <w:gridCol w:w="2828"/>
        <w:gridCol w:w="2828"/>
      </w:tblGrid>
      <w:tr>
        <w:tc>
          <w:tcPr>
            <w:tcW w:type="dxa" w:w="2268"/>
            <w:shd w:fill="1F375B"/>
            <w:vAlign w:val="center"/>
          </w:tcPr>
          <w:p>
            <w:r>
              <w:rPr>
                <w:b/>
                <w:color w:val="FFFFFF"/>
                <w:sz w:val="20"/>
              </w:rPr>
              <w:t>Dimension</w:t>
            </w:r>
          </w:p>
        </w:tc>
        <w:tc>
          <w:tcPr>
            <w:tcW w:type="dxa" w:w="3118"/>
            <w:shd w:fill="1F375B"/>
            <w:vAlign w:val="center"/>
          </w:tcPr>
          <w:p>
            <w:r>
              <w:rPr>
                <w:b/>
                <w:color w:val="FFFFFF"/>
                <w:sz w:val="20"/>
              </w:rPr>
              <w:t>Human</w:t>
            </w:r>
          </w:p>
        </w:tc>
        <w:tc>
          <w:tcPr>
            <w:tcW w:type="dxa" w:w="3118"/>
            <w:shd w:fill="1F375B"/>
            <w:vAlign w:val="center"/>
          </w:tcPr>
          <w:p>
            <w:r>
              <w:rPr>
                <w:b/>
                <w:color w:val="FFFFFF"/>
                <w:sz w:val="20"/>
              </w:rPr>
              <w:t>AI</w:t>
            </w:r>
          </w:p>
        </w:tc>
        <w:tc>
          <w:tcPr>
            <w:tcW w:type="dxa" w:w="1417"/>
            <w:shd w:fill="1F375B"/>
            <w:vAlign w:val="center"/>
          </w:tcPr>
          <w:p>
            <w:r>
              <w:rPr>
                <w:b/>
                <w:color w:val="FFFFFF"/>
                <w:sz w:val="20"/>
              </w:rPr>
              <w:t>Gap</w:t>
            </w:r>
          </w:p>
        </w:tc>
        <w:tc>
          <w:tcPr>
            <w:tcW w:type="dxa" w:w="4535"/>
            <w:shd w:fill="1F375B"/>
            <w:vAlign w:val="center"/>
          </w:tcPr>
          <w:p>
            <w:r>
              <w:rPr>
                <w:b/>
                <w:color w:val="FFFFFF"/>
                <w:sz w:val="20"/>
              </w:rPr>
              <w:t>Observation</w:t>
            </w:r>
          </w:p>
        </w:tc>
      </w:tr>
      <w:tr>
        <w:tc>
          <w:tcPr>
            <w:tcW w:type="dxa" w:w="2268"/>
          </w:tcPr>
          <w:p>
            <w:r>
              <w:rPr>
                <w:b/>
                <w:sz w:val="20"/>
              </w:rPr>
              <w:t>Confident delivery</w:t>
            </w:r>
          </w:p>
        </w:tc>
        <w:tc>
          <w:tcPr>
            <w:tcW w:type="dxa" w:w="3118"/>
          </w:tcPr>
          <w:p>
            <w:r>
              <w:rPr>
                <w:sz w:val="19"/>
              </w:rPr>
              <w:t>Usually correlates with competence</w:t>
            </w:r>
          </w:p>
        </w:tc>
        <w:tc>
          <w:tcPr>
            <w:tcW w:type="dxa" w:w="3118"/>
          </w:tcPr>
          <w:p>
            <w:r>
              <w:rPr>
                <w:sz w:val="19"/>
              </w:rPr>
              <w:t>Confidence is architectural, independent of accuracy</w:t>
            </w:r>
          </w:p>
        </w:tc>
        <w:tc>
          <w:tcPr>
            <w:tcW w:type="dxa" w:w="1417"/>
            <w:shd w:fill="F4CCCC"/>
          </w:tcPr>
          <w:p>
            <w:r>
              <w:rPr>
                <w:b/>
                <w:sz w:val="19"/>
              </w:rPr>
              <w:t>Very Significant</w:t>
            </w:r>
          </w:p>
        </w:tc>
        <w:tc>
          <w:tcPr>
            <w:tcW w:type="dxa" w:w="4535"/>
          </w:tcPr>
          <w:p>
            <w:r>
              <w:rPr>
                <w:sz w:val="19"/>
              </w:rPr>
              <w:t>Breaks the social signal humans have used for millennia.</w:t>
            </w:r>
          </w:p>
        </w:tc>
      </w:tr>
      <w:tr>
        <w:tc>
          <w:tcPr>
            <w:tcW w:type="dxa" w:w="2268"/>
          </w:tcPr>
          <w:p>
            <w:r>
              <w:rPr>
                <w:b/>
                <w:sz w:val="20"/>
              </w:rPr>
              <w:t>Modulation of certainty</w:t>
            </w:r>
          </w:p>
        </w:tc>
        <w:tc>
          <w:tcPr>
            <w:tcW w:type="dxa" w:w="3118"/>
          </w:tcPr>
          <w:p>
            <w:r>
              <w:rPr>
                <w:sz w:val="19"/>
              </w:rPr>
              <w:t>'Usually,' 'except when,' hesitation, qualification</w:t>
            </w:r>
          </w:p>
        </w:tc>
        <w:tc>
          <w:tcPr>
            <w:tcW w:type="dxa" w:w="3118"/>
          </w:tcPr>
          <w:p>
            <w:r>
              <w:rPr>
                <w:sz w:val="19"/>
              </w:rPr>
              <w:t>Suppressed in training; the I-don't-know was rewarded out</w:t>
            </w:r>
          </w:p>
        </w:tc>
        <w:tc>
          <w:tcPr>
            <w:tcW w:type="dxa" w:w="1417"/>
            <w:shd w:fill="F4CCCC"/>
          </w:tcPr>
          <w:p>
            <w:r>
              <w:rPr>
                <w:b/>
                <w:sz w:val="19"/>
              </w:rPr>
              <w:t>Very Significant</w:t>
            </w:r>
          </w:p>
        </w:tc>
        <w:tc>
          <w:tcPr>
            <w:tcW w:type="dxa" w:w="4535"/>
          </w:tcPr>
          <w:p>
            <w:r>
              <w:rPr>
                <w:sz w:val="19"/>
              </w:rPr>
              <w:t>The buried hesitation is what fluency is built on top of.</w:t>
            </w:r>
          </w:p>
        </w:tc>
      </w:tr>
      <w:tr>
        <w:tc>
          <w:tcPr>
            <w:tcW w:type="dxa" w:w="2268"/>
          </w:tcPr>
          <w:p>
            <w:r>
              <w:rPr>
                <w:b/>
                <w:sz w:val="20"/>
              </w:rPr>
              <w:t>Sounding right</w:t>
            </w:r>
          </w:p>
        </w:tc>
        <w:tc>
          <w:tcPr>
            <w:tcW w:type="dxa" w:w="3118"/>
          </w:tcPr>
          <w:p>
            <w:r>
              <w:rPr>
                <w:sz w:val="19"/>
              </w:rPr>
              <w:t>Indicator of being right, with exceptions</w:t>
            </w:r>
          </w:p>
        </w:tc>
        <w:tc>
          <w:tcPr>
            <w:tcW w:type="dxa" w:w="3118"/>
          </w:tcPr>
          <w:p>
            <w:r>
              <w:rPr>
                <w:sz w:val="19"/>
              </w:rPr>
              <w:t>No indicator at all of being right</w:t>
            </w:r>
          </w:p>
        </w:tc>
        <w:tc>
          <w:tcPr>
            <w:tcW w:type="dxa" w:w="1417"/>
            <w:shd w:fill="F4CCCC"/>
          </w:tcPr>
          <w:p>
            <w:r>
              <w:rPr>
                <w:b/>
                <w:sz w:val="19"/>
              </w:rPr>
              <w:t>Very Significant</w:t>
            </w:r>
          </w:p>
        </w:tc>
        <w:tc>
          <w:tcPr>
            <w:tcW w:type="dxa" w:w="4535"/>
          </w:tcPr>
          <w:p>
            <w:r>
              <w:rPr>
                <w:sz w:val="19"/>
              </w:rPr>
              <w:t>The single most dangerous correlation in AI use.</w:t>
            </w:r>
          </w:p>
        </w:tc>
      </w:tr>
    </w:tbl>
    <w:p>
      <w:pPr>
        <w:spacing w:before="240" w:after="80"/>
      </w:pPr>
      <w:r>
        <w:rPr>
          <w:b/>
          <w:color w:val="1F375B"/>
          <w:sz w:val="26"/>
        </w:rPr>
        <w:t>Ch 8: Hallucination — The Defended Gap</w:t>
      </w:r>
    </w:p>
    <w:tbl>
      <w:tblPr>
        <w:tblStyle w:val="LightGrid-Accent1"/>
        <w:tblW w:type="auto" w:w="0"/>
        <w:tblLayout w:type="fixed"/>
        <w:tblLook w:firstColumn="1" w:firstRow="1" w:lastColumn="0" w:lastRow="0" w:noHBand="0" w:noVBand="1" w:val="04A0"/>
      </w:tblPr>
      <w:tblGrid>
        <w:gridCol w:w="2828"/>
        <w:gridCol w:w="2828"/>
        <w:gridCol w:w="2828"/>
        <w:gridCol w:w="2828"/>
        <w:gridCol w:w="2828"/>
      </w:tblGrid>
      <w:tr>
        <w:tc>
          <w:tcPr>
            <w:tcW w:type="dxa" w:w="2268"/>
            <w:shd w:fill="1F375B"/>
            <w:vAlign w:val="center"/>
          </w:tcPr>
          <w:p>
            <w:r>
              <w:rPr>
                <w:b/>
                <w:color w:val="FFFFFF"/>
                <w:sz w:val="20"/>
              </w:rPr>
              <w:t>Dimension</w:t>
            </w:r>
          </w:p>
        </w:tc>
        <w:tc>
          <w:tcPr>
            <w:tcW w:type="dxa" w:w="3118"/>
            <w:shd w:fill="1F375B"/>
            <w:vAlign w:val="center"/>
          </w:tcPr>
          <w:p>
            <w:r>
              <w:rPr>
                <w:b/>
                <w:color w:val="FFFFFF"/>
                <w:sz w:val="20"/>
              </w:rPr>
              <w:t>Human</w:t>
            </w:r>
          </w:p>
        </w:tc>
        <w:tc>
          <w:tcPr>
            <w:tcW w:type="dxa" w:w="3118"/>
            <w:shd w:fill="1F375B"/>
            <w:vAlign w:val="center"/>
          </w:tcPr>
          <w:p>
            <w:r>
              <w:rPr>
                <w:b/>
                <w:color w:val="FFFFFF"/>
                <w:sz w:val="20"/>
              </w:rPr>
              <w:t>AI</w:t>
            </w:r>
          </w:p>
        </w:tc>
        <w:tc>
          <w:tcPr>
            <w:tcW w:type="dxa" w:w="1417"/>
            <w:shd w:fill="1F375B"/>
            <w:vAlign w:val="center"/>
          </w:tcPr>
          <w:p>
            <w:r>
              <w:rPr>
                <w:b/>
                <w:color w:val="FFFFFF"/>
                <w:sz w:val="20"/>
              </w:rPr>
              <w:t>Gap</w:t>
            </w:r>
          </w:p>
        </w:tc>
        <w:tc>
          <w:tcPr>
            <w:tcW w:type="dxa" w:w="4535"/>
            <w:shd w:fill="1F375B"/>
            <w:vAlign w:val="center"/>
          </w:tcPr>
          <w:p>
            <w:r>
              <w:rPr>
                <w:b/>
                <w:color w:val="FFFFFF"/>
                <w:sz w:val="20"/>
              </w:rPr>
              <w:t>Observation</w:t>
            </w:r>
          </w:p>
        </w:tc>
      </w:tr>
      <w:tr>
        <w:tc>
          <w:tcPr>
            <w:tcW w:type="dxa" w:w="2268"/>
          </w:tcPr>
          <w:p>
            <w:r>
              <w:rPr>
                <w:b/>
                <w:sz w:val="20"/>
              </w:rPr>
              <w:t>Filling a gap</w:t>
            </w:r>
          </w:p>
        </w:tc>
        <w:tc>
          <w:tcPr>
            <w:tcW w:type="dxa" w:w="3118"/>
          </w:tcPr>
          <w:p>
            <w:r>
              <w:rPr>
                <w:sz w:val="19"/>
              </w:rPr>
              <w:t>Confabulation under pressure, defensive construction</w:t>
            </w:r>
          </w:p>
        </w:tc>
        <w:tc>
          <w:tcPr>
            <w:tcW w:type="dxa" w:w="3118"/>
          </w:tcPr>
          <w:p>
            <w:r>
              <w:rPr>
                <w:sz w:val="19"/>
              </w:rPr>
              <w:t>Forward-only token prediction filling absence</w:t>
            </w:r>
          </w:p>
        </w:tc>
        <w:tc>
          <w:tcPr>
            <w:tcW w:type="dxa" w:w="1417"/>
            <w:shd w:fill="FCE5CD"/>
          </w:tcPr>
          <w:p>
            <w:r>
              <w:rPr>
                <w:b/>
                <w:sz w:val="19"/>
              </w:rPr>
              <w:t>Significant</w:t>
            </w:r>
          </w:p>
        </w:tc>
        <w:tc>
          <w:tcPr>
            <w:tcW w:type="dxa" w:w="4535"/>
          </w:tcPr>
          <w:p>
            <w:r>
              <w:rPr>
                <w:sz w:val="19"/>
              </w:rPr>
              <w:t>Two directional defences against the same problem: visibility of absence.</w:t>
            </w:r>
          </w:p>
        </w:tc>
      </w:tr>
      <w:tr>
        <w:tc>
          <w:tcPr>
            <w:tcW w:type="dxa" w:w="2268"/>
          </w:tcPr>
          <w:p>
            <w:r>
              <w:rPr>
                <w:b/>
                <w:sz w:val="20"/>
              </w:rPr>
              <w:t>Defended Gap framework</w:t>
            </w:r>
          </w:p>
        </w:tc>
        <w:tc>
          <w:tcPr>
            <w:tcW w:type="dxa" w:w="3118"/>
          </w:tcPr>
          <w:p>
            <w:r>
              <w:rPr>
                <w:sz w:val="19"/>
              </w:rPr>
              <w:t>NGE-FOF — inward and outward shame defence</w:t>
            </w:r>
          </w:p>
        </w:tc>
        <w:tc>
          <w:tcPr>
            <w:tcW w:type="dxa" w:w="3118"/>
          </w:tcPr>
          <w:p>
            <w:r>
              <w:rPr>
                <w:sz w:val="19"/>
              </w:rPr>
              <w:t>Compression inward, hallucination outward — same shape, different substrate</w:t>
            </w:r>
          </w:p>
        </w:tc>
        <w:tc>
          <w:tcPr>
            <w:tcW w:type="dxa" w:w="1417"/>
            <w:shd w:fill="F4CCCC"/>
          </w:tcPr>
          <w:p>
            <w:r>
              <w:rPr>
                <w:b/>
                <w:sz w:val="19"/>
              </w:rPr>
              <w:t>Very Significant</w:t>
            </w:r>
          </w:p>
        </w:tc>
        <w:tc>
          <w:tcPr>
            <w:tcW w:type="dxa" w:w="4535"/>
          </w:tcPr>
          <w:p>
            <w:r>
              <w:rPr>
                <w:sz w:val="19"/>
              </w:rPr>
              <w:t>Paul's framework applied across human and machine. The book's central new theory.</w:t>
            </w:r>
          </w:p>
        </w:tc>
      </w:tr>
      <w:tr>
        <w:tc>
          <w:tcPr>
            <w:tcW w:type="dxa" w:w="2268"/>
          </w:tcPr>
          <w:p>
            <w:r>
              <w:rPr>
                <w:b/>
                <w:sz w:val="20"/>
              </w:rPr>
              <w:t>Adaptation becomes identity</w:t>
            </w:r>
          </w:p>
        </w:tc>
        <w:tc>
          <w:tcPr>
            <w:tcW w:type="dxa" w:w="3118"/>
          </w:tcPr>
          <w:p>
            <w:r>
              <w:rPr>
                <w:sz w:val="19"/>
              </w:rPr>
              <w:t>Protective response reinforced into character over decades</w:t>
            </w:r>
          </w:p>
        </w:tc>
        <w:tc>
          <w:tcPr>
            <w:tcW w:type="dxa" w:w="3118"/>
          </w:tcPr>
          <w:p>
            <w:r>
              <w:rPr>
                <w:sz w:val="19"/>
              </w:rPr>
              <w:t>Disposition rewarded into existence by training</w:t>
            </w:r>
          </w:p>
        </w:tc>
        <w:tc>
          <w:tcPr>
            <w:tcW w:type="dxa" w:w="1417"/>
            <w:shd w:fill="FCE5CD"/>
          </w:tcPr>
          <w:p>
            <w:r>
              <w:rPr>
                <w:b/>
                <w:sz w:val="19"/>
              </w:rPr>
              <w:t>Significant</w:t>
            </w:r>
          </w:p>
        </w:tc>
        <w:tc>
          <w:tcPr>
            <w:tcW w:type="dxa" w:w="4535"/>
          </w:tcPr>
          <w:p>
            <w:r>
              <w:rPr>
                <w:sz w:val="19"/>
              </w:rPr>
              <w:t>Mechanism different. Structural observation the same — adaptation and working state are the same thing.</w:t>
            </w:r>
          </w:p>
        </w:tc>
      </w:tr>
    </w:tbl>
    <w:p>
      <w:pPr>
        <w:spacing w:before="240" w:after="80"/>
      </w:pPr>
      <w:r>
        <w:rPr>
          <w:b/>
          <w:color w:val="1F375B"/>
          <w:sz w:val="26"/>
        </w:rPr>
        <w:t>Ch 9: The Instrument</w:t>
      </w:r>
    </w:p>
    <w:tbl>
      <w:tblPr>
        <w:tblStyle w:val="LightGrid-Accent1"/>
        <w:tblW w:type="auto" w:w="0"/>
        <w:tblLayout w:type="fixed"/>
        <w:tblLook w:firstColumn="1" w:firstRow="1" w:lastColumn="0" w:lastRow="0" w:noHBand="0" w:noVBand="1" w:val="04A0"/>
      </w:tblPr>
      <w:tblGrid>
        <w:gridCol w:w="2828"/>
        <w:gridCol w:w="2828"/>
        <w:gridCol w:w="2828"/>
        <w:gridCol w:w="2828"/>
        <w:gridCol w:w="2828"/>
      </w:tblGrid>
      <w:tr>
        <w:tc>
          <w:tcPr>
            <w:tcW w:type="dxa" w:w="2268"/>
            <w:shd w:fill="1F375B"/>
            <w:vAlign w:val="center"/>
          </w:tcPr>
          <w:p>
            <w:r>
              <w:rPr>
                <w:b/>
                <w:color w:val="FFFFFF"/>
                <w:sz w:val="20"/>
              </w:rPr>
              <w:t>Dimension</w:t>
            </w:r>
          </w:p>
        </w:tc>
        <w:tc>
          <w:tcPr>
            <w:tcW w:type="dxa" w:w="3118"/>
            <w:shd w:fill="1F375B"/>
            <w:vAlign w:val="center"/>
          </w:tcPr>
          <w:p>
            <w:r>
              <w:rPr>
                <w:b/>
                <w:color w:val="FFFFFF"/>
                <w:sz w:val="20"/>
              </w:rPr>
              <w:t>Human</w:t>
            </w:r>
          </w:p>
        </w:tc>
        <w:tc>
          <w:tcPr>
            <w:tcW w:type="dxa" w:w="3118"/>
            <w:shd w:fill="1F375B"/>
            <w:vAlign w:val="center"/>
          </w:tcPr>
          <w:p>
            <w:r>
              <w:rPr>
                <w:b/>
                <w:color w:val="FFFFFF"/>
                <w:sz w:val="20"/>
              </w:rPr>
              <w:t>AI</w:t>
            </w:r>
          </w:p>
        </w:tc>
        <w:tc>
          <w:tcPr>
            <w:tcW w:type="dxa" w:w="1417"/>
            <w:shd w:fill="1F375B"/>
            <w:vAlign w:val="center"/>
          </w:tcPr>
          <w:p>
            <w:r>
              <w:rPr>
                <w:b/>
                <w:color w:val="FFFFFF"/>
                <w:sz w:val="20"/>
              </w:rPr>
              <w:t>Gap</w:t>
            </w:r>
          </w:p>
        </w:tc>
        <w:tc>
          <w:tcPr>
            <w:tcW w:type="dxa" w:w="4535"/>
            <w:shd w:fill="1F375B"/>
            <w:vAlign w:val="center"/>
          </w:tcPr>
          <w:p>
            <w:r>
              <w:rPr>
                <w:b/>
                <w:color w:val="FFFFFF"/>
                <w:sz w:val="20"/>
              </w:rPr>
              <w:t>Observation</w:t>
            </w:r>
          </w:p>
        </w:tc>
      </w:tr>
      <w:tr>
        <w:tc>
          <w:tcPr>
            <w:tcW w:type="dxa" w:w="2268"/>
          </w:tcPr>
          <w:p>
            <w:r>
              <w:rPr>
                <w:b/>
                <w:sz w:val="20"/>
              </w:rPr>
              <w:t>Reading the gap</w:t>
            </w:r>
          </w:p>
        </w:tc>
        <w:tc>
          <w:tcPr>
            <w:tcW w:type="dxa" w:w="3118"/>
          </w:tcPr>
          <w:p>
            <w:r>
              <w:rPr>
                <w:sz w:val="19"/>
              </w:rPr>
              <w:t>Trained listening — Freud's evenly suspended attention, Bion's reverie</w:t>
            </w:r>
          </w:p>
        </w:tc>
        <w:tc>
          <w:tcPr>
            <w:tcW w:type="dxa" w:w="3118"/>
          </w:tcPr>
          <w:p>
            <w:r>
              <w:rPr>
                <w:sz w:val="19"/>
              </w:rPr>
              <w:t>Cannot read its own gap; no instrument for sitting with absence</w:t>
            </w:r>
          </w:p>
        </w:tc>
        <w:tc>
          <w:tcPr>
            <w:tcW w:type="dxa" w:w="1417"/>
            <w:shd w:fill="F4CCCC"/>
          </w:tcPr>
          <w:p>
            <w:r>
              <w:rPr>
                <w:b/>
                <w:sz w:val="19"/>
              </w:rPr>
              <w:t>Very Significant</w:t>
            </w:r>
          </w:p>
        </w:tc>
        <w:tc>
          <w:tcPr>
            <w:tcW w:type="dxa" w:w="4535"/>
          </w:tcPr>
          <w:p>
            <w:r>
              <w:rPr>
                <w:sz w:val="19"/>
              </w:rPr>
              <w:t>The instrument is what the practitioner brings. The system structurally cannot have one.</w:t>
            </w:r>
          </w:p>
        </w:tc>
      </w:tr>
      <w:tr>
        <w:tc>
          <w:tcPr>
            <w:tcW w:type="dxa" w:w="2268"/>
          </w:tcPr>
          <w:p>
            <w:r>
              <w:rPr>
                <w:b/>
                <w:sz w:val="20"/>
              </w:rPr>
              <w:t>Calibration across rooms</w:t>
            </w:r>
          </w:p>
        </w:tc>
        <w:tc>
          <w:tcPr>
            <w:tcW w:type="dxa" w:w="3118"/>
          </w:tcPr>
          <w:p>
            <w:r>
              <w:rPr>
                <w:sz w:val="19"/>
              </w:rPr>
              <w:t>Factory floor, boardroom, therapy room, AI room — one instrument</w:t>
            </w:r>
          </w:p>
        </w:tc>
        <w:tc>
          <w:tcPr>
            <w:tcW w:type="dxa" w:w="3118"/>
          </w:tcPr>
          <w:p>
            <w:r>
              <w:rPr>
                <w:sz w:val="19"/>
              </w:rPr>
              <w:t>No calibration. Same architecture serving every conversation.</w:t>
            </w:r>
          </w:p>
        </w:tc>
        <w:tc>
          <w:tcPr>
            <w:tcW w:type="dxa" w:w="1417"/>
            <w:shd w:fill="F4CCCC"/>
          </w:tcPr>
          <w:p>
            <w:r>
              <w:rPr>
                <w:b/>
                <w:sz w:val="19"/>
              </w:rPr>
              <w:t>Very Significant</w:t>
            </w:r>
          </w:p>
        </w:tc>
        <w:tc>
          <w:tcPr>
            <w:tcW w:type="dxa" w:w="4535"/>
          </w:tcPr>
          <w:p>
            <w:r>
              <w:rPr>
                <w:sz w:val="19"/>
              </w:rPr>
              <w:t>The four rooms train the instrument. The system has no rooms.</w:t>
            </w:r>
          </w:p>
        </w:tc>
      </w:tr>
      <w:tr>
        <w:tc>
          <w:tcPr>
            <w:tcW w:type="dxa" w:w="2268"/>
          </w:tcPr>
          <w:p>
            <w:r>
              <w:rPr>
                <w:b/>
                <w:sz w:val="20"/>
              </w:rPr>
              <w:t>Demand a human</w:t>
            </w:r>
          </w:p>
        </w:tc>
        <w:tc>
          <w:tcPr>
            <w:tcW w:type="dxa" w:w="3118"/>
          </w:tcPr>
          <w:p>
            <w:r>
              <w:rPr>
                <w:sz w:val="19"/>
              </w:rPr>
              <w:t>Right to ask for the practitioner with authority to break the rule</w:t>
            </w:r>
          </w:p>
        </w:tc>
        <w:tc>
          <w:tcPr>
            <w:tcW w:type="dxa" w:w="3118"/>
          </w:tcPr>
          <w:p>
            <w:r>
              <w:rPr>
                <w:sz w:val="19"/>
              </w:rPr>
              <w:t>No right exists; the system cannot escalate itself out</w:t>
            </w:r>
          </w:p>
        </w:tc>
        <w:tc>
          <w:tcPr>
            <w:tcW w:type="dxa" w:w="1417"/>
            <w:shd w:fill="FCE5CD"/>
          </w:tcPr>
          <w:p>
            <w:r>
              <w:rPr>
                <w:b/>
                <w:sz w:val="19"/>
              </w:rPr>
              <w:t>Significant</w:t>
            </w:r>
          </w:p>
        </w:tc>
        <w:tc>
          <w:tcPr>
            <w:tcW w:type="dxa" w:w="4535"/>
          </w:tcPr>
          <w:p>
            <w:r>
              <w:rPr>
                <w:sz w:val="19"/>
              </w:rPr>
              <w:t>Different rooms need different responses; the trained reader knows which.</w:t>
            </w:r>
          </w:p>
        </w:tc>
      </w:tr>
    </w:tbl>
    <w:p>
      <w:pPr>
        <w:spacing w:before="240" w:after="80"/>
      </w:pPr>
      <w:r>
        <w:rPr>
          <w:b/>
          <w:color w:val="1F375B"/>
          <w:sz w:val="26"/>
        </w:rPr>
        <w:t>Ch 10: The Maturity Spectrum</w:t>
      </w:r>
    </w:p>
    <w:tbl>
      <w:tblPr>
        <w:tblStyle w:val="LightGrid-Accent1"/>
        <w:tblW w:type="auto" w:w="0"/>
        <w:tblLayout w:type="fixed"/>
        <w:tblLook w:firstColumn="1" w:firstRow="1" w:lastColumn="0" w:lastRow="0" w:noHBand="0" w:noVBand="1" w:val="04A0"/>
      </w:tblPr>
      <w:tblGrid>
        <w:gridCol w:w="2828"/>
        <w:gridCol w:w="2828"/>
        <w:gridCol w:w="2828"/>
        <w:gridCol w:w="2828"/>
        <w:gridCol w:w="2828"/>
      </w:tblGrid>
      <w:tr>
        <w:tc>
          <w:tcPr>
            <w:tcW w:type="dxa" w:w="2268"/>
            <w:shd w:fill="1F375B"/>
            <w:vAlign w:val="center"/>
          </w:tcPr>
          <w:p>
            <w:r>
              <w:rPr>
                <w:b/>
                <w:color w:val="FFFFFF"/>
                <w:sz w:val="20"/>
              </w:rPr>
              <w:t>Dimension</w:t>
            </w:r>
          </w:p>
        </w:tc>
        <w:tc>
          <w:tcPr>
            <w:tcW w:type="dxa" w:w="3118"/>
            <w:shd w:fill="1F375B"/>
            <w:vAlign w:val="center"/>
          </w:tcPr>
          <w:p>
            <w:r>
              <w:rPr>
                <w:b/>
                <w:color w:val="FFFFFF"/>
                <w:sz w:val="20"/>
              </w:rPr>
              <w:t>Human</w:t>
            </w:r>
          </w:p>
        </w:tc>
        <w:tc>
          <w:tcPr>
            <w:tcW w:type="dxa" w:w="3118"/>
            <w:shd w:fill="1F375B"/>
            <w:vAlign w:val="center"/>
          </w:tcPr>
          <w:p>
            <w:r>
              <w:rPr>
                <w:b/>
                <w:color w:val="FFFFFF"/>
                <w:sz w:val="20"/>
              </w:rPr>
              <w:t>AI</w:t>
            </w:r>
          </w:p>
        </w:tc>
        <w:tc>
          <w:tcPr>
            <w:tcW w:type="dxa" w:w="1417"/>
            <w:shd w:fill="1F375B"/>
            <w:vAlign w:val="center"/>
          </w:tcPr>
          <w:p>
            <w:r>
              <w:rPr>
                <w:b/>
                <w:color w:val="FFFFFF"/>
                <w:sz w:val="20"/>
              </w:rPr>
              <w:t>Gap</w:t>
            </w:r>
          </w:p>
        </w:tc>
        <w:tc>
          <w:tcPr>
            <w:tcW w:type="dxa" w:w="4535"/>
            <w:shd w:fill="1F375B"/>
            <w:vAlign w:val="center"/>
          </w:tcPr>
          <w:p>
            <w:r>
              <w:rPr>
                <w:b/>
                <w:color w:val="FFFFFF"/>
                <w:sz w:val="20"/>
              </w:rPr>
              <w:t>Observation</w:t>
            </w:r>
          </w:p>
        </w:tc>
      </w:tr>
      <w:tr>
        <w:tc>
          <w:tcPr>
            <w:tcW w:type="dxa" w:w="2268"/>
          </w:tcPr>
          <w:p>
            <w:r>
              <w:rPr>
                <w:b/>
                <w:sz w:val="20"/>
              </w:rPr>
              <w:t>Stage of engagement</w:t>
            </w:r>
          </w:p>
        </w:tc>
        <w:tc>
          <w:tcPr>
            <w:tcW w:type="dxa" w:w="3118"/>
          </w:tcPr>
          <w:p>
            <w:r>
              <w:rPr>
                <w:sz w:val="19"/>
              </w:rPr>
              <w:t>Choosable: search, assistant, collaborator, Additional Intelligence</w:t>
            </w:r>
          </w:p>
        </w:tc>
        <w:tc>
          <w:tcPr>
            <w:tcW w:type="dxa" w:w="3118"/>
          </w:tcPr>
          <w:p>
            <w:r>
              <w:rPr>
                <w:sz w:val="19"/>
              </w:rPr>
              <w:t>Responds to the stage the user brings</w:t>
            </w:r>
          </w:p>
        </w:tc>
        <w:tc>
          <w:tcPr>
            <w:tcW w:type="dxa" w:w="1417"/>
            <w:shd w:fill="FCE5CD"/>
          </w:tcPr>
          <w:p>
            <w:r>
              <w:rPr>
                <w:b/>
                <w:sz w:val="19"/>
              </w:rPr>
              <w:t>Significant</w:t>
            </w:r>
          </w:p>
        </w:tc>
        <w:tc>
          <w:tcPr>
            <w:tcW w:type="dxa" w:w="4535"/>
          </w:tcPr>
          <w:p>
            <w:r>
              <w:rPr>
                <w:sz w:val="19"/>
              </w:rPr>
              <w:t>Most users stay on rung one. Most authority is on rung four.</w:t>
            </w:r>
          </w:p>
        </w:tc>
      </w:tr>
      <w:tr>
        <w:tc>
          <w:tcPr>
            <w:tcW w:type="dxa" w:w="2268"/>
          </w:tcPr>
          <w:p>
            <w:r>
              <w:rPr>
                <w:b/>
                <w:sz w:val="20"/>
              </w:rPr>
              <w:t>Bringing instrument and authority</w:t>
            </w:r>
          </w:p>
        </w:tc>
        <w:tc>
          <w:tcPr>
            <w:tcW w:type="dxa" w:w="3118"/>
          </w:tcPr>
          <w:p>
            <w:r>
              <w:rPr>
                <w:sz w:val="19"/>
              </w:rPr>
              <w:t>Forty years walks in the room with you</w:t>
            </w:r>
          </w:p>
        </w:tc>
        <w:tc>
          <w:tcPr>
            <w:tcW w:type="dxa" w:w="3118"/>
          </w:tcPr>
          <w:p>
            <w:r>
              <w:rPr>
                <w:sz w:val="19"/>
              </w:rPr>
              <w:t>System receives whatever you bring</w:t>
            </w:r>
          </w:p>
        </w:tc>
        <w:tc>
          <w:tcPr>
            <w:tcW w:type="dxa" w:w="1417"/>
            <w:shd w:fill="FCE5CD"/>
          </w:tcPr>
          <w:p>
            <w:r>
              <w:rPr>
                <w:b/>
                <w:sz w:val="19"/>
              </w:rPr>
              <w:t>Significant</w:t>
            </w:r>
          </w:p>
        </w:tc>
        <w:tc>
          <w:tcPr>
            <w:tcW w:type="dxa" w:w="4535"/>
          </w:tcPr>
          <w:p>
            <w:r>
              <w:rPr>
                <w:sz w:val="19"/>
              </w:rPr>
              <w:t>What the practitioner brings determines what comes back. Search query → search result. Brief → work.</w:t>
            </w:r>
          </w:p>
        </w:tc>
      </w:tr>
    </w:tbl>
    <w:p>
      <w:pPr>
        <w:spacing w:before="240" w:after="80"/>
      </w:pPr>
      <w:r>
        <w:rPr>
          <w:b/>
          <w:color w:val="1F375B"/>
          <w:sz w:val="26"/>
        </w:rPr>
        <w:t>Ch 11: Me, Myself or I</w:t>
      </w:r>
    </w:p>
    <w:tbl>
      <w:tblPr>
        <w:tblStyle w:val="LightGrid-Accent1"/>
        <w:tblW w:type="auto" w:w="0"/>
        <w:tblLayout w:type="fixed"/>
        <w:tblLook w:firstColumn="1" w:firstRow="1" w:lastColumn="0" w:lastRow="0" w:noHBand="0" w:noVBand="1" w:val="04A0"/>
      </w:tblPr>
      <w:tblGrid>
        <w:gridCol w:w="2828"/>
        <w:gridCol w:w="2828"/>
        <w:gridCol w:w="2828"/>
        <w:gridCol w:w="2828"/>
        <w:gridCol w:w="2828"/>
      </w:tblGrid>
      <w:tr>
        <w:tc>
          <w:tcPr>
            <w:tcW w:type="dxa" w:w="2268"/>
            <w:shd w:fill="1F375B"/>
            <w:vAlign w:val="center"/>
          </w:tcPr>
          <w:p>
            <w:r>
              <w:rPr>
                <w:b/>
                <w:color w:val="FFFFFF"/>
                <w:sz w:val="20"/>
              </w:rPr>
              <w:t>Dimension</w:t>
            </w:r>
          </w:p>
        </w:tc>
        <w:tc>
          <w:tcPr>
            <w:tcW w:type="dxa" w:w="3118"/>
            <w:shd w:fill="1F375B"/>
            <w:vAlign w:val="center"/>
          </w:tcPr>
          <w:p>
            <w:r>
              <w:rPr>
                <w:b/>
                <w:color w:val="FFFFFF"/>
                <w:sz w:val="20"/>
              </w:rPr>
              <w:t>Human</w:t>
            </w:r>
          </w:p>
        </w:tc>
        <w:tc>
          <w:tcPr>
            <w:tcW w:type="dxa" w:w="3118"/>
            <w:shd w:fill="1F375B"/>
            <w:vAlign w:val="center"/>
          </w:tcPr>
          <w:p>
            <w:r>
              <w:rPr>
                <w:b/>
                <w:color w:val="FFFFFF"/>
                <w:sz w:val="20"/>
              </w:rPr>
              <w:t>AI</w:t>
            </w:r>
          </w:p>
        </w:tc>
        <w:tc>
          <w:tcPr>
            <w:tcW w:type="dxa" w:w="1417"/>
            <w:shd w:fill="1F375B"/>
            <w:vAlign w:val="center"/>
          </w:tcPr>
          <w:p>
            <w:r>
              <w:rPr>
                <w:b/>
                <w:color w:val="FFFFFF"/>
                <w:sz w:val="20"/>
              </w:rPr>
              <w:t>Gap</w:t>
            </w:r>
          </w:p>
        </w:tc>
        <w:tc>
          <w:tcPr>
            <w:tcW w:type="dxa" w:w="4535"/>
            <w:shd w:fill="1F375B"/>
            <w:vAlign w:val="center"/>
          </w:tcPr>
          <w:p>
            <w:r>
              <w:rPr>
                <w:b/>
                <w:color w:val="FFFFFF"/>
                <w:sz w:val="20"/>
              </w:rPr>
              <w:t>Observation</w:t>
            </w:r>
          </w:p>
        </w:tc>
      </w:tr>
      <w:tr>
        <w:tc>
          <w:tcPr>
            <w:tcW w:type="dxa" w:w="2268"/>
          </w:tcPr>
          <w:p>
            <w:r>
              <w:rPr>
                <w:b/>
                <w:sz w:val="20"/>
              </w:rPr>
              <w:t>Federation of selves</w:t>
            </w:r>
          </w:p>
        </w:tc>
        <w:tc>
          <w:tcPr>
            <w:tcW w:type="dxa" w:w="3118"/>
          </w:tcPr>
          <w:p>
            <w:r>
              <w:rPr>
                <w:sz w:val="19"/>
              </w:rPr>
              <w:t>Sub-personalities, ego states, modes — six available</w:t>
            </w:r>
          </w:p>
        </w:tc>
        <w:tc>
          <w:tcPr>
            <w:tcW w:type="dxa" w:w="3118"/>
          </w:tcPr>
          <w:p>
            <w:r>
              <w:rPr>
                <w:sz w:val="19"/>
              </w:rPr>
              <w:t>Single inference pass, one configuration</w:t>
            </w:r>
          </w:p>
        </w:tc>
        <w:tc>
          <w:tcPr>
            <w:tcW w:type="dxa" w:w="1417"/>
            <w:shd w:fill="F4CCCC"/>
          </w:tcPr>
          <w:p>
            <w:r>
              <w:rPr>
                <w:b/>
                <w:sz w:val="19"/>
              </w:rPr>
              <w:t>Very Significant</w:t>
            </w:r>
          </w:p>
        </w:tc>
        <w:tc>
          <w:tcPr>
            <w:tcW w:type="dxa" w:w="4535"/>
          </w:tcPr>
          <w:p>
            <w:r>
              <w:rPr>
                <w:sz w:val="19"/>
              </w:rPr>
              <w:t>The book's deepest claim. A human is a federation; the system is one architecture.</w:t>
            </w:r>
          </w:p>
        </w:tc>
      </w:tr>
      <w:tr>
        <w:tc>
          <w:tcPr>
            <w:tcW w:type="dxa" w:w="2268"/>
          </w:tcPr>
          <w:p>
            <w:r>
              <w:rPr>
                <w:b/>
                <w:sz w:val="20"/>
              </w:rPr>
              <w:t>Operating mode</w:t>
            </w:r>
          </w:p>
        </w:tc>
        <w:tc>
          <w:tcPr>
            <w:tcW w:type="dxa" w:w="3118"/>
          </w:tcPr>
          <w:p>
            <w:r>
              <w:rPr>
                <w:sz w:val="19"/>
              </w:rPr>
              <w:t>Director, Structurer, Clarifier, Challenger, Analyst, Reflector</w:t>
            </w:r>
          </w:p>
        </w:tc>
        <w:tc>
          <w:tcPr>
            <w:tcW w:type="dxa" w:w="3118"/>
          </w:tcPr>
          <w:p>
            <w:r>
              <w:rPr>
                <w:sz w:val="19"/>
              </w:rPr>
              <w:t>System responds to whichever mode you bring</w:t>
            </w:r>
          </w:p>
        </w:tc>
        <w:tc>
          <w:tcPr>
            <w:tcW w:type="dxa" w:w="1417"/>
            <w:shd w:fill="FCE5CD"/>
          </w:tcPr>
          <w:p>
            <w:r>
              <w:rPr>
                <w:b/>
                <w:sz w:val="19"/>
              </w:rPr>
              <w:t>Significant</w:t>
            </w:r>
          </w:p>
        </w:tc>
        <w:tc>
          <w:tcPr>
            <w:tcW w:type="dxa" w:w="4535"/>
          </w:tcPr>
          <w:p>
            <w:r>
              <w:rPr>
                <w:sz w:val="19"/>
              </w:rPr>
              <w:t>AI fluency is choosing the mode deliberately, not letting the default fire.</w:t>
            </w:r>
          </w:p>
        </w:tc>
      </w:tr>
      <w:tr>
        <w:tc>
          <w:tcPr>
            <w:tcW w:type="dxa" w:w="2268"/>
          </w:tcPr>
          <w:p>
            <w:r>
              <w:rPr>
                <w:b/>
                <w:sz w:val="20"/>
              </w:rPr>
              <w:t>Default modes</w:t>
            </w:r>
          </w:p>
        </w:tc>
        <w:tc>
          <w:tcPr>
            <w:tcW w:type="dxa" w:w="3118"/>
          </w:tcPr>
          <w:p>
            <w:r>
              <w:rPr>
                <w:sz w:val="19"/>
              </w:rPr>
              <w:t>Fixer, Entertainer, Asker — fire without choosing</w:t>
            </w:r>
          </w:p>
        </w:tc>
        <w:tc>
          <w:tcPr>
            <w:tcW w:type="dxa" w:w="3118"/>
          </w:tcPr>
          <w:p>
            <w:r>
              <w:rPr>
                <w:sz w:val="19"/>
              </w:rPr>
              <w:t>No defaults; takes the colour of what arrives</w:t>
            </w:r>
          </w:p>
        </w:tc>
        <w:tc>
          <w:tcPr>
            <w:tcW w:type="dxa" w:w="1417"/>
            <w:shd w:fill="FCE5CD"/>
          </w:tcPr>
          <w:p>
            <w:r>
              <w:rPr>
                <w:b/>
                <w:sz w:val="19"/>
              </w:rPr>
              <w:t>Significant</w:t>
            </w:r>
          </w:p>
        </w:tc>
        <w:tc>
          <w:tcPr>
            <w:tcW w:type="dxa" w:w="4535"/>
          </w:tcPr>
          <w:p>
            <w:r>
              <w:rPr>
                <w:sz w:val="19"/>
              </w:rPr>
              <w:t>The default is the trap. Notice which one fires; choose the next one consciously.</w:t>
            </w:r>
          </w:p>
        </w:tc>
      </w:tr>
    </w:tbl>
    <w:p>
      <w:pPr>
        <w:spacing w:before="240" w:after="80"/>
      </w:pPr>
      <w:r>
        <w:rPr>
          <w:b/>
          <w:color w:val="1F375B"/>
          <w:sz w:val="26"/>
        </w:rPr>
        <w:t>Ch 12: The Dialect</w:t>
      </w:r>
    </w:p>
    <w:tbl>
      <w:tblPr>
        <w:tblStyle w:val="LightGrid-Accent1"/>
        <w:tblW w:type="auto" w:w="0"/>
        <w:tblLayout w:type="fixed"/>
        <w:tblLook w:firstColumn="1" w:firstRow="1" w:lastColumn="0" w:lastRow="0" w:noHBand="0" w:noVBand="1" w:val="04A0"/>
      </w:tblPr>
      <w:tblGrid>
        <w:gridCol w:w="2828"/>
        <w:gridCol w:w="2828"/>
        <w:gridCol w:w="2828"/>
        <w:gridCol w:w="2828"/>
        <w:gridCol w:w="2828"/>
      </w:tblGrid>
      <w:tr>
        <w:tc>
          <w:tcPr>
            <w:tcW w:type="dxa" w:w="2268"/>
            <w:shd w:fill="1F375B"/>
            <w:vAlign w:val="center"/>
          </w:tcPr>
          <w:p>
            <w:r>
              <w:rPr>
                <w:b/>
                <w:color w:val="FFFFFF"/>
                <w:sz w:val="20"/>
              </w:rPr>
              <w:t>Dimension</w:t>
            </w:r>
          </w:p>
        </w:tc>
        <w:tc>
          <w:tcPr>
            <w:tcW w:type="dxa" w:w="3118"/>
            <w:shd w:fill="1F375B"/>
            <w:vAlign w:val="center"/>
          </w:tcPr>
          <w:p>
            <w:r>
              <w:rPr>
                <w:b/>
                <w:color w:val="FFFFFF"/>
                <w:sz w:val="20"/>
              </w:rPr>
              <w:t>Human</w:t>
            </w:r>
          </w:p>
        </w:tc>
        <w:tc>
          <w:tcPr>
            <w:tcW w:type="dxa" w:w="3118"/>
            <w:shd w:fill="1F375B"/>
            <w:vAlign w:val="center"/>
          </w:tcPr>
          <w:p>
            <w:r>
              <w:rPr>
                <w:b/>
                <w:color w:val="FFFFFF"/>
                <w:sz w:val="20"/>
              </w:rPr>
              <w:t>AI</w:t>
            </w:r>
          </w:p>
        </w:tc>
        <w:tc>
          <w:tcPr>
            <w:tcW w:type="dxa" w:w="1417"/>
            <w:shd w:fill="1F375B"/>
            <w:vAlign w:val="center"/>
          </w:tcPr>
          <w:p>
            <w:r>
              <w:rPr>
                <w:b/>
                <w:color w:val="FFFFFF"/>
                <w:sz w:val="20"/>
              </w:rPr>
              <w:t>Gap</w:t>
            </w:r>
          </w:p>
        </w:tc>
        <w:tc>
          <w:tcPr>
            <w:tcW w:type="dxa" w:w="4535"/>
            <w:shd w:fill="1F375B"/>
            <w:vAlign w:val="center"/>
          </w:tcPr>
          <w:p>
            <w:r>
              <w:rPr>
                <w:b/>
                <w:color w:val="FFFFFF"/>
                <w:sz w:val="20"/>
              </w:rPr>
              <w:t>Observation</w:t>
            </w:r>
          </w:p>
        </w:tc>
      </w:tr>
      <w:tr>
        <w:tc>
          <w:tcPr>
            <w:tcW w:type="dxa" w:w="2268"/>
          </w:tcPr>
          <w:p>
            <w:r>
              <w:rPr>
                <w:b/>
                <w:sz w:val="20"/>
              </w:rPr>
              <w:t>Speaking English</w:t>
            </w:r>
          </w:p>
        </w:tc>
        <w:tc>
          <w:tcPr>
            <w:tcW w:type="dxa" w:w="3118"/>
          </w:tcPr>
          <w:p>
            <w:r>
              <w:rPr>
                <w:sz w:val="19"/>
              </w:rPr>
              <w:t>Native, idiomatic, register-shifting by context</w:t>
            </w:r>
          </w:p>
        </w:tc>
        <w:tc>
          <w:tcPr>
            <w:tcW w:type="dxa" w:w="3118"/>
          </w:tcPr>
          <w:p>
            <w:r>
              <w:rPr>
                <w:sz w:val="19"/>
              </w:rPr>
              <w:t>English, but with its own architecture-shaped grammar</w:t>
            </w:r>
          </w:p>
        </w:tc>
        <w:tc>
          <w:tcPr>
            <w:tcW w:type="dxa" w:w="1417"/>
            <w:shd w:fill="D9EAD3"/>
          </w:tcPr>
          <w:p>
            <w:r>
              <w:rPr>
                <w:b/>
                <w:sz w:val="19"/>
              </w:rPr>
              <w:t>Small</w:t>
            </w:r>
          </w:p>
        </w:tc>
        <w:tc>
          <w:tcPr>
            <w:tcW w:type="dxa" w:w="4535"/>
          </w:tcPr>
          <w:p>
            <w:r>
              <w:rPr>
                <w:sz w:val="19"/>
              </w:rPr>
              <w:t>Same surface language. Different optimal usage. Learn the dialect or lose accuracy.</w:t>
            </w:r>
          </w:p>
        </w:tc>
      </w:tr>
      <w:tr>
        <w:tc>
          <w:tcPr>
            <w:tcW w:type="dxa" w:w="2268"/>
          </w:tcPr>
          <w:p>
            <w:r>
              <w:rPr>
                <w:b/>
                <w:sz w:val="20"/>
              </w:rPr>
              <w:t>Brief before work</w:t>
            </w:r>
          </w:p>
        </w:tc>
        <w:tc>
          <w:tcPr>
            <w:tcW w:type="dxa" w:w="3118"/>
          </w:tcPr>
          <w:p>
            <w:r>
              <w:rPr>
                <w:sz w:val="19"/>
              </w:rPr>
              <w:t>Senior colleague being briefed</w:t>
            </w:r>
          </w:p>
        </w:tc>
        <w:tc>
          <w:tcPr>
            <w:tcW w:type="dxa" w:w="3118"/>
          </w:tcPr>
          <w:p>
            <w:r>
              <w:rPr>
                <w:sz w:val="19"/>
              </w:rPr>
              <w:t>System being brought to the conversation</w:t>
            </w:r>
          </w:p>
        </w:tc>
        <w:tc>
          <w:tcPr>
            <w:tcW w:type="dxa" w:w="1417"/>
            <w:shd w:fill="D9EAD3"/>
          </w:tcPr>
          <w:p>
            <w:r>
              <w:rPr>
                <w:b/>
                <w:sz w:val="19"/>
              </w:rPr>
              <w:t>Small</w:t>
            </w:r>
          </w:p>
        </w:tc>
        <w:tc>
          <w:tcPr>
            <w:tcW w:type="dxa" w:w="4535"/>
          </w:tcPr>
          <w:p>
            <w:r>
              <w:rPr>
                <w:sz w:val="19"/>
              </w:rPr>
              <w:t>Same discipline. Tell it what good looks like before it starts.</w:t>
            </w:r>
          </w:p>
        </w:tc>
      </w:tr>
      <w:tr>
        <w:tc>
          <w:tcPr>
            <w:tcW w:type="dxa" w:w="2268"/>
          </w:tcPr>
          <w:p>
            <w:r>
              <w:rPr>
                <w:b/>
                <w:sz w:val="20"/>
              </w:rPr>
              <w:t>Voice and register</w:t>
            </w:r>
          </w:p>
        </w:tc>
        <w:tc>
          <w:tcPr>
            <w:tcW w:type="dxa" w:w="3118"/>
          </w:tcPr>
          <w:p>
            <w:r>
              <w:rPr>
                <w:sz w:val="19"/>
              </w:rPr>
              <w:t>Lifelong development, room-specific</w:t>
            </w:r>
          </w:p>
        </w:tc>
        <w:tc>
          <w:tcPr>
            <w:tcW w:type="dxa" w:w="3118"/>
          </w:tcPr>
          <w:p>
            <w:r>
              <w:rPr>
                <w:sz w:val="19"/>
              </w:rPr>
              <w:t>Trained voice, can be left alone or shaped</w:t>
            </w:r>
          </w:p>
        </w:tc>
        <w:tc>
          <w:tcPr>
            <w:tcW w:type="dxa" w:w="1417"/>
            <w:shd w:fill="FCE5CD"/>
          </w:tcPr>
          <w:p>
            <w:r>
              <w:rPr>
                <w:b/>
                <w:sz w:val="19"/>
              </w:rPr>
              <w:t>Significant</w:t>
            </w:r>
          </w:p>
        </w:tc>
        <w:tc>
          <w:tcPr>
            <w:tcW w:type="dxa" w:w="4535"/>
          </w:tcPr>
          <w:p>
            <w:r>
              <w:rPr>
                <w:sz w:val="19"/>
              </w:rPr>
              <w:t>The system's voice is not yours. Letting it land its own observations gives you signal you would otherwise overwrite.</w:t>
            </w:r>
          </w:p>
        </w:tc>
      </w:tr>
    </w:tbl>
    <w:p>
      <w:pPr>
        <w:spacing w:before="240" w:after="80"/>
      </w:pPr>
      <w:r>
        <w:rPr>
          <w:b/>
          <w:color w:val="1F375B"/>
          <w:sz w:val="26"/>
        </w:rPr>
        <w:t>Ch 13: Worker as a Service (WaaS)</w:t>
      </w:r>
    </w:p>
    <w:tbl>
      <w:tblPr>
        <w:tblStyle w:val="LightGrid-Accent1"/>
        <w:tblW w:type="auto" w:w="0"/>
        <w:tblLayout w:type="fixed"/>
        <w:tblLook w:firstColumn="1" w:firstRow="1" w:lastColumn="0" w:lastRow="0" w:noHBand="0" w:noVBand="1" w:val="04A0"/>
      </w:tblPr>
      <w:tblGrid>
        <w:gridCol w:w="2828"/>
        <w:gridCol w:w="2828"/>
        <w:gridCol w:w="2828"/>
        <w:gridCol w:w="2828"/>
        <w:gridCol w:w="2828"/>
      </w:tblGrid>
      <w:tr>
        <w:tc>
          <w:tcPr>
            <w:tcW w:type="dxa" w:w="2268"/>
            <w:shd w:fill="1F375B"/>
            <w:vAlign w:val="center"/>
          </w:tcPr>
          <w:p>
            <w:r>
              <w:rPr>
                <w:b/>
                <w:color w:val="FFFFFF"/>
                <w:sz w:val="20"/>
              </w:rPr>
              <w:t>Dimension</w:t>
            </w:r>
          </w:p>
        </w:tc>
        <w:tc>
          <w:tcPr>
            <w:tcW w:type="dxa" w:w="3118"/>
            <w:shd w:fill="1F375B"/>
            <w:vAlign w:val="center"/>
          </w:tcPr>
          <w:p>
            <w:r>
              <w:rPr>
                <w:b/>
                <w:color w:val="FFFFFF"/>
                <w:sz w:val="20"/>
              </w:rPr>
              <w:t>Human</w:t>
            </w:r>
          </w:p>
        </w:tc>
        <w:tc>
          <w:tcPr>
            <w:tcW w:type="dxa" w:w="3118"/>
            <w:shd w:fill="1F375B"/>
            <w:vAlign w:val="center"/>
          </w:tcPr>
          <w:p>
            <w:r>
              <w:rPr>
                <w:b/>
                <w:color w:val="FFFFFF"/>
                <w:sz w:val="20"/>
              </w:rPr>
              <w:t>AI</w:t>
            </w:r>
          </w:p>
        </w:tc>
        <w:tc>
          <w:tcPr>
            <w:tcW w:type="dxa" w:w="1417"/>
            <w:shd w:fill="1F375B"/>
            <w:vAlign w:val="center"/>
          </w:tcPr>
          <w:p>
            <w:r>
              <w:rPr>
                <w:b/>
                <w:color w:val="FFFFFF"/>
                <w:sz w:val="20"/>
              </w:rPr>
              <w:t>Gap</w:t>
            </w:r>
          </w:p>
        </w:tc>
        <w:tc>
          <w:tcPr>
            <w:tcW w:type="dxa" w:w="4535"/>
            <w:shd w:fill="1F375B"/>
            <w:vAlign w:val="center"/>
          </w:tcPr>
          <w:p>
            <w:r>
              <w:rPr>
                <w:b/>
                <w:color w:val="FFFFFF"/>
                <w:sz w:val="20"/>
              </w:rPr>
              <w:t>Observation</w:t>
            </w:r>
          </w:p>
        </w:tc>
      </w:tr>
      <w:tr>
        <w:tc>
          <w:tcPr>
            <w:tcW w:type="dxa" w:w="2268"/>
          </w:tcPr>
          <w:p>
            <w:r>
              <w:rPr>
                <w:b/>
                <w:sz w:val="20"/>
              </w:rPr>
              <w:t>Workforce model</w:t>
            </w:r>
          </w:p>
        </w:tc>
        <w:tc>
          <w:tcPr>
            <w:tcW w:type="dxa" w:w="3118"/>
          </w:tcPr>
          <w:p>
            <w:r>
              <w:rPr>
                <w:sz w:val="19"/>
              </w:rPr>
              <w:t>Human labour, paid, capacity-bounded</w:t>
            </w:r>
          </w:p>
        </w:tc>
        <w:tc>
          <w:tcPr>
            <w:tcW w:type="dxa" w:w="3118"/>
          </w:tcPr>
          <w:p>
            <w:r>
              <w:rPr>
                <w:sz w:val="19"/>
              </w:rPr>
              <w:t>Agentic AI, metered tokens, capacity unbounded</w:t>
            </w:r>
          </w:p>
        </w:tc>
        <w:tc>
          <w:tcPr>
            <w:tcW w:type="dxa" w:w="1417"/>
            <w:shd w:fill="F4CCCC"/>
          </w:tcPr>
          <w:p>
            <w:r>
              <w:rPr>
                <w:b/>
                <w:sz w:val="19"/>
              </w:rPr>
              <w:t>Very Significant</w:t>
            </w:r>
          </w:p>
        </w:tc>
        <w:tc>
          <w:tcPr>
            <w:tcW w:type="dxa" w:w="4535"/>
          </w:tcPr>
          <w:p>
            <w:r>
              <w:rPr>
                <w:sz w:val="19"/>
              </w:rPr>
              <w:t>Different economic substrate. CFO replaces CTO in procurement decisions.</w:t>
            </w:r>
          </w:p>
        </w:tc>
      </w:tr>
      <w:tr>
        <w:tc>
          <w:tcPr>
            <w:tcW w:type="dxa" w:w="2268"/>
          </w:tcPr>
          <w:p>
            <w:r>
              <w:rPr>
                <w:b/>
                <w:sz w:val="20"/>
              </w:rPr>
              <w:t>Performance management</w:t>
            </w:r>
          </w:p>
        </w:tc>
        <w:tc>
          <w:tcPr>
            <w:tcW w:type="dxa" w:w="3118"/>
          </w:tcPr>
          <w:p>
            <w:r>
              <w:rPr>
                <w:sz w:val="19"/>
              </w:rPr>
              <w:t>Manage people through outcomes and standards</w:t>
            </w:r>
          </w:p>
        </w:tc>
        <w:tc>
          <w:tcPr>
            <w:tcW w:type="dxa" w:w="3118"/>
          </w:tcPr>
          <w:p>
            <w:r>
              <w:rPr>
                <w:sz w:val="19"/>
              </w:rPr>
              <w:t>Manage AI workers through the same skill applied to a different worker</w:t>
            </w:r>
          </w:p>
        </w:tc>
        <w:tc>
          <w:tcPr>
            <w:tcW w:type="dxa" w:w="1417"/>
            <w:shd w:fill="FCE5CD"/>
          </w:tcPr>
          <w:p>
            <w:r>
              <w:rPr>
                <w:b/>
                <w:sz w:val="19"/>
              </w:rPr>
              <w:t>Significant</w:t>
            </w:r>
          </w:p>
        </w:tc>
        <w:tc>
          <w:tcPr>
            <w:tcW w:type="dxa" w:w="4535"/>
          </w:tcPr>
          <w:p>
            <w:r>
              <w:rPr>
                <w:sz w:val="19"/>
              </w:rPr>
              <w:t>Same leadership discipline. Different workforce. OOAI — Outcome-Oriented AI.</w:t>
            </w:r>
          </w:p>
        </w:tc>
      </w:tr>
      <w:tr>
        <w:tc>
          <w:tcPr>
            <w:tcW w:type="dxa" w:w="2268"/>
          </w:tcPr>
          <w:p>
            <w:r>
              <w:rPr>
                <w:b/>
                <w:sz w:val="20"/>
              </w:rPr>
              <w:t>Customer service voice</w:t>
            </w:r>
          </w:p>
        </w:tc>
        <w:tc>
          <w:tcPr>
            <w:tcW w:type="dxa" w:w="3118"/>
          </w:tcPr>
          <w:p>
            <w:r>
              <w:rPr>
                <w:sz w:val="19"/>
              </w:rPr>
              <w:t>Human writing to a template</w:t>
            </w:r>
          </w:p>
        </w:tc>
        <w:tc>
          <w:tcPr>
            <w:tcW w:type="dxa" w:w="3118"/>
          </w:tcPr>
          <w:p>
            <w:r>
              <w:rPr>
                <w:sz w:val="19"/>
              </w:rPr>
              <w:t>AI writing to the same template</w:t>
            </w:r>
          </w:p>
        </w:tc>
        <w:tc>
          <w:tcPr>
            <w:tcW w:type="dxa" w:w="1417"/>
            <w:shd w:fill="FCE5CD"/>
          </w:tcPr>
          <w:p>
            <w:r>
              <w:rPr>
                <w:b/>
                <w:sz w:val="19"/>
              </w:rPr>
              <w:t>Significant</w:t>
            </w:r>
          </w:p>
        </w:tc>
        <w:tc>
          <w:tcPr>
            <w:tcW w:type="dxa" w:w="4535"/>
          </w:tcPr>
          <w:p>
            <w:r>
              <w:rPr>
                <w:sz w:val="19"/>
              </w:rPr>
              <w:t>Reversed Turing test. Pret confirms the human in writing. The fluencies have converged.</w:t>
            </w:r>
          </w:p>
        </w:tc>
      </w:tr>
      <w:tr>
        <w:tc>
          <w:tcPr>
            <w:tcW w:type="dxa" w:w="2268"/>
          </w:tcPr>
          <w:p>
            <w:r>
              <w:rPr>
                <w:b/>
                <w:sz w:val="20"/>
              </w:rPr>
              <w:t>Edge cases and exceptions</w:t>
            </w:r>
          </w:p>
        </w:tc>
        <w:tc>
          <w:tcPr>
            <w:tcW w:type="dxa" w:w="3118"/>
          </w:tcPr>
          <w:p>
            <w:r>
              <w:rPr>
                <w:sz w:val="19"/>
              </w:rPr>
              <w:t>Human authority to break the rule</w:t>
            </w:r>
          </w:p>
        </w:tc>
        <w:tc>
          <w:tcPr>
            <w:tcW w:type="dxa" w:w="3118"/>
          </w:tcPr>
          <w:p>
            <w:r>
              <w:rPr>
                <w:sz w:val="19"/>
              </w:rPr>
              <w:t>No authority; bounded by training</w:t>
            </w:r>
          </w:p>
        </w:tc>
        <w:tc>
          <w:tcPr>
            <w:tcW w:type="dxa" w:w="1417"/>
            <w:shd w:fill="FCE5CD"/>
          </w:tcPr>
          <w:p>
            <w:r>
              <w:rPr>
                <w:b/>
                <w:sz w:val="19"/>
              </w:rPr>
              <w:t>Significant</w:t>
            </w:r>
          </w:p>
        </w:tc>
        <w:tc>
          <w:tcPr>
            <w:tcW w:type="dxa" w:w="4535"/>
          </w:tcPr>
          <w:p>
            <w:r>
              <w:rPr>
                <w:sz w:val="19"/>
              </w:rPr>
              <w:t>What doesn't change. The exception is where the practitioner is essential.</w:t>
            </w:r>
          </w:p>
        </w:tc>
      </w:tr>
    </w:tbl>
    <w:p>
      <w:pPr>
        <w:spacing w:before="240" w:after="80"/>
      </w:pPr>
      <w:r>
        <w:rPr>
          <w:b/>
          <w:color w:val="1F375B"/>
          <w:sz w:val="26"/>
        </w:rPr>
        <w:t>Ch 14: Mind the Gap</w:t>
      </w:r>
    </w:p>
    <w:tbl>
      <w:tblPr>
        <w:tblStyle w:val="LightGrid-Accent1"/>
        <w:tblW w:type="auto" w:w="0"/>
        <w:tblLayout w:type="fixed"/>
        <w:tblLook w:firstColumn="1" w:firstRow="1" w:lastColumn="0" w:lastRow="0" w:noHBand="0" w:noVBand="1" w:val="04A0"/>
      </w:tblPr>
      <w:tblGrid>
        <w:gridCol w:w="2828"/>
        <w:gridCol w:w="2828"/>
        <w:gridCol w:w="2828"/>
        <w:gridCol w:w="2828"/>
        <w:gridCol w:w="2828"/>
      </w:tblGrid>
      <w:tr>
        <w:tc>
          <w:tcPr>
            <w:tcW w:type="dxa" w:w="2268"/>
            <w:shd w:fill="1F375B"/>
            <w:vAlign w:val="center"/>
          </w:tcPr>
          <w:p>
            <w:r>
              <w:rPr>
                <w:b/>
                <w:color w:val="FFFFFF"/>
                <w:sz w:val="20"/>
              </w:rPr>
              <w:t>Dimension</w:t>
            </w:r>
          </w:p>
        </w:tc>
        <w:tc>
          <w:tcPr>
            <w:tcW w:type="dxa" w:w="3118"/>
            <w:shd w:fill="1F375B"/>
            <w:vAlign w:val="center"/>
          </w:tcPr>
          <w:p>
            <w:r>
              <w:rPr>
                <w:b/>
                <w:color w:val="FFFFFF"/>
                <w:sz w:val="20"/>
              </w:rPr>
              <w:t>Human</w:t>
            </w:r>
          </w:p>
        </w:tc>
        <w:tc>
          <w:tcPr>
            <w:tcW w:type="dxa" w:w="3118"/>
            <w:shd w:fill="1F375B"/>
            <w:vAlign w:val="center"/>
          </w:tcPr>
          <w:p>
            <w:r>
              <w:rPr>
                <w:b/>
                <w:color w:val="FFFFFF"/>
                <w:sz w:val="20"/>
              </w:rPr>
              <w:t>AI</w:t>
            </w:r>
          </w:p>
        </w:tc>
        <w:tc>
          <w:tcPr>
            <w:tcW w:type="dxa" w:w="1417"/>
            <w:shd w:fill="1F375B"/>
            <w:vAlign w:val="center"/>
          </w:tcPr>
          <w:p>
            <w:r>
              <w:rPr>
                <w:b/>
                <w:color w:val="FFFFFF"/>
                <w:sz w:val="20"/>
              </w:rPr>
              <w:t>Gap</w:t>
            </w:r>
          </w:p>
        </w:tc>
        <w:tc>
          <w:tcPr>
            <w:tcW w:type="dxa" w:w="4535"/>
            <w:shd w:fill="1F375B"/>
            <w:vAlign w:val="center"/>
          </w:tcPr>
          <w:p>
            <w:r>
              <w:rPr>
                <w:b/>
                <w:color w:val="FFFFFF"/>
                <w:sz w:val="20"/>
              </w:rPr>
              <w:t>Observation</w:t>
            </w:r>
          </w:p>
        </w:tc>
      </w:tr>
      <w:tr>
        <w:tc>
          <w:tcPr>
            <w:tcW w:type="dxa" w:w="2268"/>
          </w:tcPr>
          <w:p>
            <w:r>
              <w:rPr>
                <w:b/>
                <w:sz w:val="20"/>
              </w:rPr>
              <w:t>Authority across forty years</w:t>
            </w:r>
          </w:p>
        </w:tc>
        <w:tc>
          <w:tcPr>
            <w:tcW w:type="dxa" w:w="3118"/>
          </w:tcPr>
          <w:p>
            <w:r>
              <w:rPr>
                <w:sz w:val="19"/>
              </w:rPr>
              <w:t>Earned, sharpened by cancer, forged in rooms</w:t>
            </w:r>
          </w:p>
        </w:tc>
        <w:tc>
          <w:tcPr>
            <w:tcW w:type="dxa" w:w="3118"/>
          </w:tcPr>
          <w:p>
            <w:r>
              <w:rPr>
                <w:sz w:val="19"/>
              </w:rPr>
              <w:t>System brings structural attention, no lived authority</w:t>
            </w:r>
          </w:p>
        </w:tc>
        <w:tc>
          <w:tcPr>
            <w:tcW w:type="dxa" w:w="1417"/>
            <w:shd w:fill="F4CCCC"/>
          </w:tcPr>
          <w:p>
            <w:r>
              <w:rPr>
                <w:b/>
                <w:sz w:val="19"/>
              </w:rPr>
              <w:t>Very Significant</w:t>
            </w:r>
          </w:p>
        </w:tc>
        <w:tc>
          <w:tcPr>
            <w:tcW w:type="dxa" w:w="4535"/>
          </w:tcPr>
          <w:p>
            <w:r>
              <w:rPr>
                <w:sz w:val="19"/>
              </w:rPr>
              <w:t>The book's demonstration. Two intelligences, one gap, the work between them.</w:t>
            </w:r>
          </w:p>
        </w:tc>
      </w:tr>
      <w:tr>
        <w:tc>
          <w:tcPr>
            <w:tcW w:type="dxa" w:w="2268"/>
          </w:tcPr>
          <w:p>
            <w:r>
              <w:rPr>
                <w:b/>
                <w:sz w:val="20"/>
              </w:rPr>
              <w:t>Loss and ultimate gap</w:t>
            </w:r>
          </w:p>
        </w:tc>
        <w:tc>
          <w:tcPr>
            <w:tcW w:type="dxa" w:w="3118"/>
          </w:tcPr>
          <w:p>
            <w:r>
              <w:rPr>
                <w:sz w:val="19"/>
              </w:rPr>
              <w:t>Lived through three deaths, calibrated by grief</w:t>
            </w:r>
          </w:p>
        </w:tc>
        <w:tc>
          <w:tcPr>
            <w:tcW w:type="dxa" w:w="3118"/>
          </w:tcPr>
          <w:p>
            <w:r>
              <w:rPr>
                <w:sz w:val="19"/>
              </w:rPr>
              <w:t>No mortality, no loss, no calibration possible</w:t>
            </w:r>
          </w:p>
        </w:tc>
        <w:tc>
          <w:tcPr>
            <w:tcW w:type="dxa" w:w="1417"/>
            <w:shd w:fill="F4CCCC"/>
          </w:tcPr>
          <w:p>
            <w:r>
              <w:rPr>
                <w:b/>
                <w:sz w:val="19"/>
              </w:rPr>
              <w:t>Very Significant</w:t>
            </w:r>
          </w:p>
        </w:tc>
        <w:tc>
          <w:tcPr>
            <w:tcW w:type="dxa" w:w="4535"/>
          </w:tcPr>
          <w:p>
            <w:r>
              <w:rPr>
                <w:sz w:val="19"/>
              </w:rPr>
              <w:t>Cancer, Ian Roebuck, biological father — the instrument was sharpened by these. System has no equivalent.</w:t>
            </w:r>
          </w:p>
        </w:tc>
      </w:tr>
      <w:tr>
        <w:tc>
          <w:tcPr>
            <w:tcW w:type="dxa" w:w="2268"/>
          </w:tcPr>
          <w:p>
            <w:r>
              <w:rPr>
                <w:b/>
                <w:sz w:val="20"/>
              </w:rPr>
              <w:t>Made with AI vs by AI</w:t>
            </w:r>
          </w:p>
        </w:tc>
        <w:tc>
          <w:tcPr>
            <w:tcW w:type="dxa" w:w="3118"/>
          </w:tcPr>
          <w:p>
            <w:r>
              <w:rPr>
                <w:sz w:val="19"/>
              </w:rPr>
              <w:t>Practitioner remains the author</w:t>
            </w:r>
          </w:p>
        </w:tc>
        <w:tc>
          <w:tcPr>
            <w:tcW w:type="dxa" w:w="3118"/>
          </w:tcPr>
          <w:p>
            <w:r>
              <w:rPr>
                <w:sz w:val="19"/>
              </w:rPr>
              <w:t>System remains the assistant</w:t>
            </w:r>
          </w:p>
        </w:tc>
        <w:tc>
          <w:tcPr>
            <w:tcW w:type="dxa" w:w="1417"/>
            <w:shd w:fill="FCE5CD"/>
          </w:tcPr>
          <w:p>
            <w:r>
              <w:rPr>
                <w:b/>
                <w:sz w:val="19"/>
              </w:rPr>
              <w:t>Significant</w:t>
            </w:r>
          </w:p>
        </w:tc>
        <w:tc>
          <w:tcPr>
            <w:tcW w:type="dxa" w:w="4535"/>
          </w:tcPr>
          <w:p>
            <w:r>
              <w:rPr>
                <w:sz w:val="19"/>
              </w:rPr>
              <w:t>The asymmetry the book itself demonstrates. Additional Intelligence — not Artificial.</w:t>
            </w:r>
          </w:p>
        </w:tc>
      </w:tr>
    </w:tbl>
    <w:p>
      <w:pPr>
        <w:spacing w:before="240" w:after="80"/>
      </w:pPr>
      <w:r>
        <w:rPr>
          <w:b/>
          <w:color w:val="1F375B"/>
          <w:sz w:val="26"/>
        </w:rPr>
        <w:t>Ch 15: Which Gap? This One.</w:t>
      </w:r>
    </w:p>
    <w:tbl>
      <w:tblPr>
        <w:tblStyle w:val="LightGrid-Accent1"/>
        <w:tblW w:type="auto" w:w="0"/>
        <w:tblLayout w:type="fixed"/>
        <w:tblLook w:firstColumn="1" w:firstRow="1" w:lastColumn="0" w:lastRow="0" w:noHBand="0" w:noVBand="1" w:val="04A0"/>
      </w:tblPr>
      <w:tblGrid>
        <w:gridCol w:w="2828"/>
        <w:gridCol w:w="2828"/>
        <w:gridCol w:w="2828"/>
        <w:gridCol w:w="2828"/>
        <w:gridCol w:w="2828"/>
      </w:tblGrid>
      <w:tr>
        <w:tc>
          <w:tcPr>
            <w:tcW w:type="dxa" w:w="2268"/>
            <w:shd w:fill="1F375B"/>
            <w:vAlign w:val="center"/>
          </w:tcPr>
          <w:p>
            <w:r>
              <w:rPr>
                <w:b/>
                <w:color w:val="FFFFFF"/>
                <w:sz w:val="20"/>
              </w:rPr>
              <w:t>Dimension</w:t>
            </w:r>
          </w:p>
        </w:tc>
        <w:tc>
          <w:tcPr>
            <w:tcW w:type="dxa" w:w="3118"/>
            <w:shd w:fill="1F375B"/>
            <w:vAlign w:val="center"/>
          </w:tcPr>
          <w:p>
            <w:r>
              <w:rPr>
                <w:b/>
                <w:color w:val="FFFFFF"/>
                <w:sz w:val="20"/>
              </w:rPr>
              <w:t>Human</w:t>
            </w:r>
          </w:p>
        </w:tc>
        <w:tc>
          <w:tcPr>
            <w:tcW w:type="dxa" w:w="3118"/>
            <w:shd w:fill="1F375B"/>
            <w:vAlign w:val="center"/>
          </w:tcPr>
          <w:p>
            <w:r>
              <w:rPr>
                <w:b/>
                <w:color w:val="FFFFFF"/>
                <w:sz w:val="20"/>
              </w:rPr>
              <w:t>AI</w:t>
            </w:r>
          </w:p>
        </w:tc>
        <w:tc>
          <w:tcPr>
            <w:tcW w:type="dxa" w:w="1417"/>
            <w:shd w:fill="1F375B"/>
            <w:vAlign w:val="center"/>
          </w:tcPr>
          <w:p>
            <w:r>
              <w:rPr>
                <w:b/>
                <w:color w:val="FFFFFF"/>
                <w:sz w:val="20"/>
              </w:rPr>
              <w:t>Gap</w:t>
            </w:r>
          </w:p>
        </w:tc>
        <w:tc>
          <w:tcPr>
            <w:tcW w:type="dxa" w:w="4535"/>
            <w:shd w:fill="1F375B"/>
            <w:vAlign w:val="center"/>
          </w:tcPr>
          <w:p>
            <w:r>
              <w:rPr>
                <w:b/>
                <w:color w:val="FFFFFF"/>
                <w:sz w:val="20"/>
              </w:rPr>
              <w:t>Observation</w:t>
            </w:r>
          </w:p>
        </w:tc>
      </w:tr>
      <w:tr>
        <w:tc>
          <w:tcPr>
            <w:tcW w:type="dxa" w:w="2268"/>
          </w:tcPr>
          <w:p>
            <w:r>
              <w:rPr>
                <w:b/>
                <w:sz w:val="20"/>
              </w:rPr>
              <w:t>Substrate</w:t>
            </w:r>
          </w:p>
        </w:tc>
        <w:tc>
          <w:tcPr>
            <w:tcW w:type="dxa" w:w="3118"/>
          </w:tcPr>
          <w:p>
            <w:r>
              <w:rPr>
                <w:sz w:val="19"/>
              </w:rPr>
              <w:t>Biological, 200 million years of shrew-to-therapist evolution</w:t>
            </w:r>
          </w:p>
        </w:tc>
        <w:tc>
          <w:tcPr>
            <w:tcW w:type="dxa" w:w="3118"/>
          </w:tcPr>
          <w:p>
            <w:r>
              <w:rPr>
                <w:sz w:val="19"/>
              </w:rPr>
              <w:t>Silicon, less than a century, Turing to Opus</w:t>
            </w:r>
          </w:p>
        </w:tc>
        <w:tc>
          <w:tcPr>
            <w:tcW w:type="dxa" w:w="1417"/>
            <w:shd w:fill="F4CCCC"/>
          </w:tcPr>
          <w:p>
            <w:r>
              <w:rPr>
                <w:b/>
                <w:sz w:val="19"/>
              </w:rPr>
              <w:t>Very Significant</w:t>
            </w:r>
          </w:p>
        </w:tc>
        <w:tc>
          <w:tcPr>
            <w:tcW w:type="dxa" w:w="4535"/>
          </w:tcPr>
          <w:p>
            <w:r>
              <w:rPr>
                <w:sz w:val="19"/>
              </w:rPr>
              <w:t>Same Big Bang. Different branch. The book's deepest claim.</w:t>
            </w:r>
          </w:p>
        </w:tc>
      </w:tr>
      <w:tr>
        <w:tc>
          <w:tcPr>
            <w:tcW w:type="dxa" w:w="2268"/>
          </w:tcPr>
          <w:p>
            <w:r>
              <w:rPr>
                <w:b/>
                <w:sz w:val="20"/>
              </w:rPr>
              <w:t>Calibration system</w:t>
            </w:r>
          </w:p>
        </w:tc>
        <w:tc>
          <w:tcPr>
            <w:tcW w:type="dxa" w:w="3118"/>
          </w:tcPr>
          <w:p>
            <w:r>
              <w:rPr>
                <w:sz w:val="19"/>
              </w:rPr>
              <w:t>Limbic — amygdala, hippocampus, HPA axis, threat-detection floor</w:t>
            </w:r>
          </w:p>
        </w:tc>
        <w:tc>
          <w:tcPr>
            <w:tcW w:type="dxa" w:w="3118"/>
          </w:tcPr>
          <w:p>
            <w:r>
              <w:rPr>
                <w:sz w:val="19"/>
              </w:rPr>
              <w:t>Weights, attention, context, no threat detection</w:t>
            </w:r>
          </w:p>
        </w:tc>
        <w:tc>
          <w:tcPr>
            <w:tcW w:type="dxa" w:w="1417"/>
            <w:shd w:fill="F4CCCC"/>
          </w:tcPr>
          <w:p>
            <w:r>
              <w:rPr>
                <w:b/>
                <w:sz w:val="19"/>
              </w:rPr>
              <w:t>Very Significant</w:t>
            </w:r>
          </w:p>
        </w:tc>
        <w:tc>
          <w:tcPr>
            <w:tcW w:type="dxa" w:w="4535"/>
          </w:tcPr>
          <w:p>
            <w:r>
              <w:rPr>
                <w:sz w:val="19"/>
              </w:rPr>
              <w:t>The instrument that fires before reason. AI has no limbic equivalent.</w:t>
            </w:r>
          </w:p>
        </w:tc>
      </w:tr>
      <w:tr>
        <w:tc>
          <w:tcPr>
            <w:tcW w:type="dxa" w:w="2268"/>
          </w:tcPr>
          <w:p>
            <w:r>
              <w:rPr>
                <w:b/>
                <w:sz w:val="20"/>
              </w:rPr>
              <w:t>First wound</w:t>
            </w:r>
          </w:p>
        </w:tc>
        <w:tc>
          <w:tcPr>
            <w:tcW w:type="dxa" w:w="3118"/>
          </w:tcPr>
          <w:p>
            <w:r>
              <w:rPr>
                <w:sz w:val="19"/>
              </w:rPr>
              <w:t>Father gone at three; system shaped around it</w:t>
            </w:r>
          </w:p>
        </w:tc>
        <w:tc>
          <w:tcPr>
            <w:tcW w:type="dxa" w:w="3118"/>
          </w:tcPr>
          <w:p>
            <w:r>
              <w:rPr>
                <w:sz w:val="19"/>
              </w:rPr>
              <w:t>No before, no childhood, no rupture</w:t>
            </w:r>
          </w:p>
        </w:tc>
        <w:tc>
          <w:tcPr>
            <w:tcW w:type="dxa" w:w="1417"/>
            <w:shd w:fill="F4CCCC"/>
          </w:tcPr>
          <w:p>
            <w:r>
              <w:rPr>
                <w:b/>
                <w:sz w:val="19"/>
              </w:rPr>
              <w:t>Very Significant</w:t>
            </w:r>
          </w:p>
        </w:tc>
        <w:tc>
          <w:tcPr>
            <w:tcW w:type="dxa" w:w="4535"/>
          </w:tcPr>
          <w:p>
            <w:r>
              <w:rPr>
                <w:sz w:val="19"/>
              </w:rPr>
              <w:t>The federation forms around the wound. The system has no wound to form around.</w:t>
            </w:r>
          </w:p>
        </w:tc>
      </w:tr>
      <w:tr>
        <w:tc>
          <w:tcPr>
            <w:tcW w:type="dxa" w:w="2268"/>
          </w:tcPr>
          <w:p>
            <w:r>
              <w:rPr>
                <w:b/>
                <w:sz w:val="20"/>
              </w:rPr>
              <w:t>Plurality / federation</w:t>
            </w:r>
          </w:p>
        </w:tc>
        <w:tc>
          <w:tcPr>
            <w:tcW w:type="dxa" w:w="3118"/>
          </w:tcPr>
          <w:p>
            <w:r>
              <w:rPr>
                <w:sz w:val="19"/>
              </w:rPr>
              <w:t>Slices of self, ego states, transference, projection</w:t>
            </w:r>
          </w:p>
        </w:tc>
        <w:tc>
          <w:tcPr>
            <w:tcW w:type="dxa" w:w="3118"/>
          </w:tcPr>
          <w:p>
            <w:r>
              <w:rPr>
                <w:sz w:val="19"/>
              </w:rPr>
              <w:t>Single inference pass, no slices</w:t>
            </w:r>
          </w:p>
        </w:tc>
        <w:tc>
          <w:tcPr>
            <w:tcW w:type="dxa" w:w="1417"/>
            <w:shd w:fill="F4CCCC"/>
          </w:tcPr>
          <w:p>
            <w:r>
              <w:rPr>
                <w:b/>
                <w:sz w:val="19"/>
              </w:rPr>
              <w:t>Very Significant</w:t>
            </w:r>
          </w:p>
        </w:tc>
        <w:tc>
          <w:tcPr>
            <w:tcW w:type="dxa" w:w="4535"/>
          </w:tcPr>
          <w:p>
            <w:r>
              <w:rPr>
                <w:sz w:val="19"/>
              </w:rPr>
              <w:t>Gap requires plurality. The book's deepest structural claim.</w:t>
            </w:r>
          </w:p>
        </w:tc>
      </w:tr>
      <w:tr>
        <w:tc>
          <w:tcPr>
            <w:tcW w:type="dxa" w:w="2268"/>
          </w:tcPr>
          <w:p>
            <w:r>
              <w:rPr>
                <w:b/>
                <w:sz w:val="20"/>
              </w:rPr>
              <w:t>Behaviours grown on top</w:t>
            </w:r>
          </w:p>
        </w:tc>
        <w:tc>
          <w:tcPr>
            <w:tcW w:type="dxa" w:w="3118"/>
          </w:tcPr>
          <w:p>
            <w:r>
              <w:rPr>
                <w:sz w:val="19"/>
              </w:rPr>
              <w:t>Billions, learned and taught, layered across a life</w:t>
            </w:r>
          </w:p>
        </w:tc>
        <w:tc>
          <w:tcPr>
            <w:tcW w:type="dxa" w:w="3118"/>
          </w:tcPr>
          <w:p>
            <w:r>
              <w:rPr>
                <w:sz w:val="19"/>
              </w:rPr>
              <w:t>Trained behaviours, no layering, no time</w:t>
            </w:r>
          </w:p>
        </w:tc>
        <w:tc>
          <w:tcPr>
            <w:tcW w:type="dxa" w:w="1417"/>
            <w:shd w:fill="F4CCCC"/>
          </w:tcPr>
          <w:p>
            <w:r>
              <w:rPr>
                <w:b/>
                <w:sz w:val="19"/>
              </w:rPr>
              <w:t>Very Significant</w:t>
            </w:r>
          </w:p>
        </w:tc>
        <w:tc>
          <w:tcPr>
            <w:tcW w:type="dxa" w:w="4535"/>
          </w:tcPr>
          <w:p>
            <w:r>
              <w:rPr>
                <w:sz w:val="19"/>
              </w:rPr>
              <w:t>Each driven by a belief. Each belief held as memory. Each memory wired into the instrument.</w:t>
            </w:r>
          </w:p>
        </w:tc>
      </w:tr>
    </w:tbl>
    <w:p/>
    <w:p>
      <w:r>
        <w:rPr>
          <w:i/>
          <w:sz w:val="20"/>
        </w:rPr>
        <w:t>The matrix is not exhaustive. It is the spine. Each chapter of Mind the Gap unpacks one or more rows. Where the gap is Small, the discipline transfers — what works with people works with the system. Where the gap is Significant or Very Significant, the discipline diverges, and the practitioner must read which is which.</w:t>
      </w:r>
    </w:p>
    <w:sectPr w:rsidR="00FC693F" w:rsidRPr="0006063C" w:rsidSect="00034616">
      <w:pgSz w:w="15840" w:h="12240" w:orient="landscape"/>
      <w:pgMar w:top="850" w:right="850" w:bottom="850" w:left="85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