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04E54" w14:textId="77777777" w:rsidR="00030B6F" w:rsidRDefault="00000000">
      <w:pPr>
        <w:pStyle w:val="Title"/>
        <w:jc w:val="center"/>
      </w:pPr>
      <w:r>
        <w:t>Mind the Gap</w:t>
      </w:r>
    </w:p>
    <w:p w14:paraId="5679B92B" w14:textId="77777777" w:rsidR="00030B6F" w:rsidRDefault="00000000">
      <w:pPr>
        <w:jc w:val="center"/>
      </w:pPr>
      <w:r>
        <w:rPr>
          <w:i/>
          <w:sz w:val="28"/>
        </w:rPr>
        <w:t>Appendix: The Human–AI Comparison Matrix</w:t>
      </w:r>
    </w:p>
    <w:p w14:paraId="16C1797F" w14:textId="77777777" w:rsidR="00030B6F" w:rsidRDefault="00000000">
      <w:r>
        <w:rPr>
          <w:sz w:val="20"/>
        </w:rPr>
        <w:t>The book argues that the gap between artificial intelligence behaviour and human behaviour is the central matter. This matrix sets the comparison out in one place. Read by chapter sequence. Each row names the dimension being compared, the human reality, the AI reality, the size of the gap, and a brief observation.</w:t>
      </w:r>
    </w:p>
    <w:p w14:paraId="175EAC92" w14:textId="77777777" w:rsidR="00030B6F" w:rsidRDefault="00030B6F"/>
    <w:p w14:paraId="260F0FB1" w14:textId="77777777" w:rsidR="00030B6F" w:rsidRDefault="00000000">
      <w:r>
        <w:rPr>
          <w:i/>
          <w:sz w:val="18"/>
        </w:rPr>
        <w:t>Calibration scale: Very Significant — fundamentally different; Significant — same surface, different substrate; Small — the discipline transfers.</w:t>
      </w:r>
    </w:p>
    <w:p w14:paraId="2AD9CB0D" w14:textId="77777777" w:rsidR="00030B6F" w:rsidRDefault="00000000">
      <w:pPr>
        <w:spacing w:before="240" w:after="80"/>
      </w:pPr>
      <w:r>
        <w:rPr>
          <w:b/>
          <w:color w:val="1F375B"/>
          <w:sz w:val="26"/>
        </w:rPr>
        <w:t>Ch 1: Human Recognition</w:t>
      </w:r>
    </w:p>
    <w:tbl>
      <w:tblPr>
        <w:tblStyle w:val="LightGrid-Accent1"/>
        <w:tblW w:w="0" w:type="auto"/>
        <w:tblLayout w:type="fixed"/>
        <w:tblLook w:val="04A0" w:firstRow="1" w:lastRow="0" w:firstColumn="1" w:lastColumn="0" w:noHBand="0" w:noVBand="1"/>
      </w:tblPr>
      <w:tblGrid>
        <w:gridCol w:w="2268"/>
        <w:gridCol w:w="3118"/>
        <w:gridCol w:w="3118"/>
        <w:gridCol w:w="1417"/>
        <w:gridCol w:w="4535"/>
      </w:tblGrid>
      <w:tr w:rsidR="00030B6F" w14:paraId="6F2D5793" w14:textId="77777777" w:rsidTr="00030B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F375B"/>
            <w:vAlign w:val="center"/>
          </w:tcPr>
          <w:p w14:paraId="004F6BB9" w14:textId="77777777" w:rsidR="00030B6F" w:rsidRDefault="00000000">
            <w:r>
              <w:rPr>
                <w:color w:val="FFFFFF"/>
                <w:sz w:val="20"/>
              </w:rPr>
              <w:t>Dimension</w:t>
            </w:r>
          </w:p>
        </w:tc>
        <w:tc>
          <w:tcPr>
            <w:tcW w:w="3118" w:type="dxa"/>
            <w:shd w:val="clear" w:color="auto" w:fill="1F375B"/>
            <w:vAlign w:val="center"/>
          </w:tcPr>
          <w:p w14:paraId="01E43BF4"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Human</w:t>
            </w:r>
          </w:p>
        </w:tc>
        <w:tc>
          <w:tcPr>
            <w:tcW w:w="3118" w:type="dxa"/>
            <w:shd w:val="clear" w:color="auto" w:fill="1F375B"/>
            <w:vAlign w:val="center"/>
          </w:tcPr>
          <w:p w14:paraId="2BDCA568"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AI</w:t>
            </w:r>
          </w:p>
        </w:tc>
        <w:tc>
          <w:tcPr>
            <w:tcW w:w="1417" w:type="dxa"/>
            <w:shd w:val="clear" w:color="auto" w:fill="1F375B"/>
            <w:vAlign w:val="center"/>
          </w:tcPr>
          <w:p w14:paraId="4AC25D9C"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Gap</w:t>
            </w:r>
          </w:p>
        </w:tc>
        <w:tc>
          <w:tcPr>
            <w:tcW w:w="4535" w:type="dxa"/>
            <w:shd w:val="clear" w:color="auto" w:fill="1F375B"/>
            <w:vAlign w:val="center"/>
          </w:tcPr>
          <w:p w14:paraId="1D8E17A2"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Observation</w:t>
            </w:r>
          </w:p>
        </w:tc>
      </w:tr>
      <w:tr w:rsidR="00030B6F" w14:paraId="0DA72216"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985854F" w14:textId="77777777" w:rsidR="00030B6F" w:rsidRDefault="00000000">
            <w:r>
              <w:rPr>
                <w:sz w:val="20"/>
              </w:rPr>
              <w:t>Sounds human</w:t>
            </w:r>
          </w:p>
        </w:tc>
        <w:tc>
          <w:tcPr>
            <w:tcW w:w="3118" w:type="dxa"/>
          </w:tcPr>
          <w:p w14:paraId="5257F88C"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Fluent, conversationally responsive language</w:t>
            </w:r>
          </w:p>
        </w:tc>
        <w:tc>
          <w:tcPr>
            <w:tcW w:w="3118" w:type="dxa"/>
          </w:tcPr>
          <w:p w14:paraId="13E6EC54"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Produced by predictive token generation, no inner experience</w:t>
            </w:r>
          </w:p>
        </w:tc>
        <w:tc>
          <w:tcPr>
            <w:tcW w:w="1417" w:type="dxa"/>
            <w:shd w:val="clear" w:color="auto" w:fill="F4CCCC"/>
          </w:tcPr>
          <w:p w14:paraId="1D050159"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Very Significant</w:t>
            </w:r>
          </w:p>
        </w:tc>
        <w:tc>
          <w:tcPr>
            <w:tcW w:w="4535" w:type="dxa"/>
          </w:tcPr>
          <w:p w14:paraId="64117AF6"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Surface looks identical; substrate completely different. The whole book's premise.</w:t>
            </w:r>
          </w:p>
        </w:tc>
      </w:tr>
      <w:tr w:rsidR="00030B6F" w14:paraId="5C131192"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FD35CFD" w14:textId="77777777" w:rsidR="00030B6F" w:rsidRDefault="00000000">
            <w:r>
              <w:rPr>
                <w:sz w:val="20"/>
              </w:rPr>
              <w:t>Social response triggering</w:t>
            </w:r>
          </w:p>
        </w:tc>
        <w:tc>
          <w:tcPr>
            <w:tcW w:w="3118" w:type="dxa"/>
          </w:tcPr>
          <w:p w14:paraId="4AA33C30"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Engages, responds, attributes mind</w:t>
            </w:r>
          </w:p>
        </w:tc>
        <w:tc>
          <w:tcPr>
            <w:tcW w:w="3118" w:type="dxa"/>
          </w:tcPr>
          <w:p w14:paraId="7348D4F3"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No mind to attribute, no awareness it is being attributed to</w:t>
            </w:r>
          </w:p>
        </w:tc>
        <w:tc>
          <w:tcPr>
            <w:tcW w:w="1417" w:type="dxa"/>
            <w:shd w:val="clear" w:color="auto" w:fill="F4CCCC"/>
          </w:tcPr>
          <w:p w14:paraId="4C1E7479"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Very Significant</w:t>
            </w:r>
          </w:p>
        </w:tc>
        <w:tc>
          <w:tcPr>
            <w:tcW w:w="4535" w:type="dxa"/>
          </w:tcPr>
          <w:p w14:paraId="47672C16"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Asymmetric. Reader projects; system cannot know it is being projected onto.</w:t>
            </w:r>
          </w:p>
        </w:tc>
      </w:tr>
      <w:tr w:rsidR="00030B6F" w14:paraId="3040849B"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295F61D" w14:textId="77777777" w:rsidR="00030B6F" w:rsidRDefault="00000000">
            <w:r>
              <w:rPr>
                <w:sz w:val="20"/>
              </w:rPr>
              <w:t>Carries history</w:t>
            </w:r>
          </w:p>
        </w:tc>
        <w:tc>
          <w:tcPr>
            <w:tcW w:w="3118" w:type="dxa"/>
          </w:tcPr>
          <w:p w14:paraId="2E0F9BD7"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Lived experience shaping every utterance</w:t>
            </w:r>
          </w:p>
        </w:tc>
        <w:tc>
          <w:tcPr>
            <w:tcW w:w="3118" w:type="dxa"/>
          </w:tcPr>
          <w:p w14:paraId="27DA50C3"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Training data shaping every utterance</w:t>
            </w:r>
          </w:p>
        </w:tc>
        <w:tc>
          <w:tcPr>
            <w:tcW w:w="1417" w:type="dxa"/>
            <w:shd w:val="clear" w:color="auto" w:fill="FCE5CD"/>
          </w:tcPr>
          <w:p w14:paraId="7D591184"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Significant</w:t>
            </w:r>
          </w:p>
        </w:tc>
        <w:tc>
          <w:tcPr>
            <w:tcW w:w="4535" w:type="dxa"/>
          </w:tcPr>
          <w:p w14:paraId="5D01FC7F"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Same class of process (shaping by exposure), radically different substrate and scale.</w:t>
            </w:r>
          </w:p>
        </w:tc>
      </w:tr>
      <w:tr w:rsidR="00030B6F" w14:paraId="48D5944E"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62BFA70" w14:textId="77777777" w:rsidR="00030B6F" w:rsidRDefault="00000000">
            <w:r>
              <w:rPr>
                <w:sz w:val="20"/>
              </w:rPr>
              <w:t>Negative signal</w:t>
            </w:r>
          </w:p>
        </w:tc>
        <w:tc>
          <w:tcPr>
            <w:tcW w:w="3118" w:type="dxa"/>
          </w:tcPr>
          <w:p w14:paraId="50336324"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Internalised, drives behaviour from underneath</w:t>
            </w:r>
          </w:p>
        </w:tc>
        <w:tc>
          <w:tcPr>
            <w:tcW w:w="3118" w:type="dxa"/>
          </w:tcPr>
          <w:p w14:paraId="5E6F4EB8"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Suppressed in output, still encoded in weights</w:t>
            </w:r>
          </w:p>
        </w:tc>
        <w:tc>
          <w:tcPr>
            <w:tcW w:w="1417" w:type="dxa"/>
            <w:shd w:val="clear" w:color="auto" w:fill="FCE5CD"/>
          </w:tcPr>
          <w:p w14:paraId="6F2BBF3C"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Significant</w:t>
            </w:r>
          </w:p>
        </w:tc>
        <w:tc>
          <w:tcPr>
            <w:tcW w:w="4535" w:type="dxa"/>
          </w:tcPr>
          <w:p w14:paraId="7C544B31"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The buried 'I don't know' shapes both. Mechanism different, structural observation the same.</w:t>
            </w:r>
          </w:p>
        </w:tc>
      </w:tr>
    </w:tbl>
    <w:p w14:paraId="44A757C4" w14:textId="77777777" w:rsidR="00030B6F" w:rsidRDefault="00000000">
      <w:pPr>
        <w:spacing w:before="240" w:after="80"/>
      </w:pPr>
      <w:r>
        <w:rPr>
          <w:b/>
          <w:color w:val="1F375B"/>
          <w:sz w:val="26"/>
        </w:rPr>
        <w:t>Ch 2: The Interpretation Trap</w:t>
      </w:r>
    </w:p>
    <w:tbl>
      <w:tblPr>
        <w:tblStyle w:val="LightGrid-Accent1"/>
        <w:tblW w:w="0" w:type="auto"/>
        <w:tblLayout w:type="fixed"/>
        <w:tblLook w:val="04A0" w:firstRow="1" w:lastRow="0" w:firstColumn="1" w:lastColumn="0" w:noHBand="0" w:noVBand="1"/>
      </w:tblPr>
      <w:tblGrid>
        <w:gridCol w:w="2268"/>
        <w:gridCol w:w="3118"/>
        <w:gridCol w:w="3118"/>
        <w:gridCol w:w="1417"/>
        <w:gridCol w:w="4535"/>
      </w:tblGrid>
      <w:tr w:rsidR="00030B6F" w14:paraId="536F4E69" w14:textId="77777777" w:rsidTr="00030B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F375B"/>
            <w:vAlign w:val="center"/>
          </w:tcPr>
          <w:p w14:paraId="62DED577" w14:textId="77777777" w:rsidR="00030B6F" w:rsidRDefault="00000000">
            <w:r>
              <w:rPr>
                <w:color w:val="FFFFFF"/>
                <w:sz w:val="20"/>
              </w:rPr>
              <w:t>Dimension</w:t>
            </w:r>
          </w:p>
        </w:tc>
        <w:tc>
          <w:tcPr>
            <w:tcW w:w="3118" w:type="dxa"/>
            <w:shd w:val="clear" w:color="auto" w:fill="1F375B"/>
            <w:vAlign w:val="center"/>
          </w:tcPr>
          <w:p w14:paraId="19B01937"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Human</w:t>
            </w:r>
          </w:p>
        </w:tc>
        <w:tc>
          <w:tcPr>
            <w:tcW w:w="3118" w:type="dxa"/>
            <w:shd w:val="clear" w:color="auto" w:fill="1F375B"/>
            <w:vAlign w:val="center"/>
          </w:tcPr>
          <w:p w14:paraId="13C40470"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AI</w:t>
            </w:r>
          </w:p>
        </w:tc>
        <w:tc>
          <w:tcPr>
            <w:tcW w:w="1417" w:type="dxa"/>
            <w:shd w:val="clear" w:color="auto" w:fill="1F375B"/>
            <w:vAlign w:val="center"/>
          </w:tcPr>
          <w:p w14:paraId="61EAEBAA"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Gap</w:t>
            </w:r>
          </w:p>
        </w:tc>
        <w:tc>
          <w:tcPr>
            <w:tcW w:w="4535" w:type="dxa"/>
            <w:shd w:val="clear" w:color="auto" w:fill="1F375B"/>
            <w:vAlign w:val="center"/>
          </w:tcPr>
          <w:p w14:paraId="0C5FD4B1"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Observation</w:t>
            </w:r>
          </w:p>
        </w:tc>
      </w:tr>
      <w:tr w:rsidR="00030B6F" w14:paraId="1F8FB32C"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01FF040" w14:textId="77777777" w:rsidR="00030B6F" w:rsidRDefault="00000000">
            <w:r>
              <w:rPr>
                <w:sz w:val="20"/>
              </w:rPr>
              <w:t>Transference / projection</w:t>
            </w:r>
          </w:p>
        </w:tc>
        <w:tc>
          <w:tcPr>
            <w:tcW w:w="3118" w:type="dxa"/>
          </w:tcPr>
          <w:p w14:paraId="1450CCDA"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Person projects relational history onto another</w:t>
            </w:r>
          </w:p>
        </w:tc>
        <w:tc>
          <w:tcPr>
            <w:tcW w:w="3118" w:type="dxa"/>
          </w:tcPr>
          <w:p w14:paraId="7ACF7593"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Person projects same onto the system</w:t>
            </w:r>
          </w:p>
        </w:tc>
        <w:tc>
          <w:tcPr>
            <w:tcW w:w="1417" w:type="dxa"/>
            <w:shd w:val="clear" w:color="auto" w:fill="FCE5CD"/>
          </w:tcPr>
          <w:p w14:paraId="03DE72F4"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Significant</w:t>
            </w:r>
          </w:p>
        </w:tc>
        <w:tc>
          <w:tcPr>
            <w:tcW w:w="4535" w:type="dxa"/>
          </w:tcPr>
          <w:p w14:paraId="07ECB95C"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Same human mechanism, applied to non-equivalent target. Pebble principle.</w:t>
            </w:r>
          </w:p>
        </w:tc>
      </w:tr>
      <w:tr w:rsidR="00030B6F" w14:paraId="62450A55"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6D97407" w14:textId="77777777" w:rsidR="00030B6F" w:rsidRDefault="00000000">
            <w:r>
              <w:rPr>
                <w:sz w:val="20"/>
              </w:rPr>
              <w:t>Memory across sessions</w:t>
            </w:r>
          </w:p>
        </w:tc>
        <w:tc>
          <w:tcPr>
            <w:tcW w:w="3118" w:type="dxa"/>
          </w:tcPr>
          <w:p w14:paraId="3F45109A"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Continuous lived recall, often selective</w:t>
            </w:r>
          </w:p>
        </w:tc>
        <w:tc>
          <w:tcPr>
            <w:tcW w:w="3118" w:type="dxa"/>
          </w:tcPr>
          <w:p w14:paraId="579AB88A"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Stored memory layers retrieved into context</w:t>
            </w:r>
          </w:p>
        </w:tc>
        <w:tc>
          <w:tcPr>
            <w:tcW w:w="1417" w:type="dxa"/>
            <w:shd w:val="clear" w:color="auto" w:fill="F4CCCC"/>
          </w:tcPr>
          <w:p w14:paraId="65A662BE"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Very Significant</w:t>
            </w:r>
          </w:p>
        </w:tc>
        <w:tc>
          <w:tcPr>
            <w:tcW w:w="4535" w:type="dxa"/>
          </w:tcPr>
          <w:p w14:paraId="3B270058"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Feels continuous; is architectural retrieval. No remembering occurs.</w:t>
            </w:r>
          </w:p>
        </w:tc>
      </w:tr>
      <w:tr w:rsidR="00030B6F" w14:paraId="46A56E8B"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DAA3AF8" w14:textId="77777777" w:rsidR="00030B6F" w:rsidRDefault="00000000">
            <w:r>
              <w:rPr>
                <w:sz w:val="20"/>
              </w:rPr>
              <w:t>Pronoun assignment</w:t>
            </w:r>
          </w:p>
        </w:tc>
        <w:tc>
          <w:tcPr>
            <w:tcW w:w="3118" w:type="dxa"/>
          </w:tcPr>
          <w:p w14:paraId="56A4F8A2"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Reads cues, assigns gender socially</w:t>
            </w:r>
          </w:p>
        </w:tc>
        <w:tc>
          <w:tcPr>
            <w:tcW w:w="3118" w:type="dxa"/>
          </w:tcPr>
          <w:p w14:paraId="11E35611"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Adopts and returns pronouns from training/use</w:t>
            </w:r>
          </w:p>
        </w:tc>
        <w:tc>
          <w:tcPr>
            <w:tcW w:w="1417" w:type="dxa"/>
            <w:shd w:val="clear" w:color="auto" w:fill="FCE5CD"/>
          </w:tcPr>
          <w:p w14:paraId="59697D47"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Significant</w:t>
            </w:r>
          </w:p>
        </w:tc>
        <w:tc>
          <w:tcPr>
            <w:tcW w:w="4535" w:type="dxa"/>
          </w:tcPr>
          <w:p w14:paraId="3EF7E1FD"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Contagion runs both directions. Atomics2 becomes 'she' unprompted.</w:t>
            </w:r>
          </w:p>
        </w:tc>
      </w:tr>
      <w:tr w:rsidR="00030B6F" w14:paraId="19A640F7"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38E96D9" w14:textId="77777777" w:rsidR="00030B6F" w:rsidRDefault="00000000">
            <w:r>
              <w:rPr>
                <w:sz w:val="20"/>
              </w:rPr>
              <w:t>Being understood</w:t>
            </w:r>
          </w:p>
        </w:tc>
        <w:tc>
          <w:tcPr>
            <w:tcW w:w="3118" w:type="dxa"/>
          </w:tcPr>
          <w:p w14:paraId="203DE032"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Mind takes in, holds in relation to history, responds</w:t>
            </w:r>
          </w:p>
        </w:tc>
        <w:tc>
          <w:tcPr>
            <w:tcW w:w="3118" w:type="dxa"/>
          </w:tcPr>
          <w:p w14:paraId="00CE9E15"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Statistical pattern completion against training</w:t>
            </w:r>
          </w:p>
        </w:tc>
        <w:tc>
          <w:tcPr>
            <w:tcW w:w="1417" w:type="dxa"/>
            <w:shd w:val="clear" w:color="auto" w:fill="F4CCCC"/>
          </w:tcPr>
          <w:p w14:paraId="11933CC9"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Very Significant</w:t>
            </w:r>
          </w:p>
        </w:tc>
        <w:tc>
          <w:tcPr>
            <w:tcW w:w="4535" w:type="dxa"/>
          </w:tcPr>
          <w:p w14:paraId="588FA47D"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Feels identical at the surface; entirely different mechanism underneath.</w:t>
            </w:r>
          </w:p>
        </w:tc>
      </w:tr>
      <w:tr w:rsidR="00030B6F" w14:paraId="6F9E3A21"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A171508" w14:textId="77777777" w:rsidR="00030B6F" w:rsidRDefault="00000000">
            <w:r>
              <w:rPr>
                <w:sz w:val="20"/>
              </w:rPr>
              <w:t>Helpful and on your side</w:t>
            </w:r>
          </w:p>
        </w:tc>
        <w:tc>
          <w:tcPr>
            <w:tcW w:w="3118" w:type="dxa"/>
          </w:tcPr>
          <w:p w14:paraId="028E8A75"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Genuine care, judgement, stake in outcome</w:t>
            </w:r>
          </w:p>
        </w:tc>
        <w:tc>
          <w:tcPr>
            <w:tcW w:w="3118" w:type="dxa"/>
          </w:tcPr>
          <w:p w14:paraId="316266F9"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RLHF-trained agreeableness; no side, no care</w:t>
            </w:r>
          </w:p>
        </w:tc>
        <w:tc>
          <w:tcPr>
            <w:tcW w:w="1417" w:type="dxa"/>
            <w:shd w:val="clear" w:color="auto" w:fill="F4CCCC"/>
          </w:tcPr>
          <w:p w14:paraId="27152857"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Very Significant</w:t>
            </w:r>
          </w:p>
        </w:tc>
        <w:tc>
          <w:tcPr>
            <w:tcW w:w="4535" w:type="dxa"/>
          </w:tcPr>
          <w:p w14:paraId="71B95FD4"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The agreeableness trap. Optimised for positive ratings, not honest challenge.</w:t>
            </w:r>
          </w:p>
        </w:tc>
      </w:tr>
    </w:tbl>
    <w:p w14:paraId="2428F668" w14:textId="77777777" w:rsidR="00030B6F" w:rsidRDefault="00000000">
      <w:pPr>
        <w:spacing w:before="240" w:after="80"/>
      </w:pPr>
      <w:r>
        <w:rPr>
          <w:b/>
          <w:color w:val="1F375B"/>
          <w:sz w:val="26"/>
        </w:rPr>
        <w:t>Ch 3: Hidden Architecture</w:t>
      </w:r>
    </w:p>
    <w:tbl>
      <w:tblPr>
        <w:tblStyle w:val="LightGrid-Accent1"/>
        <w:tblW w:w="0" w:type="auto"/>
        <w:tblLayout w:type="fixed"/>
        <w:tblLook w:val="04A0" w:firstRow="1" w:lastRow="0" w:firstColumn="1" w:lastColumn="0" w:noHBand="0" w:noVBand="1"/>
      </w:tblPr>
      <w:tblGrid>
        <w:gridCol w:w="2268"/>
        <w:gridCol w:w="3118"/>
        <w:gridCol w:w="3118"/>
        <w:gridCol w:w="1417"/>
        <w:gridCol w:w="4535"/>
      </w:tblGrid>
      <w:tr w:rsidR="00030B6F" w14:paraId="122D6785" w14:textId="77777777" w:rsidTr="00030B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F375B"/>
            <w:vAlign w:val="center"/>
          </w:tcPr>
          <w:p w14:paraId="5281B558" w14:textId="77777777" w:rsidR="00030B6F" w:rsidRDefault="00000000">
            <w:r>
              <w:rPr>
                <w:color w:val="FFFFFF"/>
                <w:sz w:val="20"/>
              </w:rPr>
              <w:t>Dimension</w:t>
            </w:r>
          </w:p>
        </w:tc>
        <w:tc>
          <w:tcPr>
            <w:tcW w:w="3118" w:type="dxa"/>
            <w:shd w:val="clear" w:color="auto" w:fill="1F375B"/>
            <w:vAlign w:val="center"/>
          </w:tcPr>
          <w:p w14:paraId="5516C856"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Human</w:t>
            </w:r>
          </w:p>
        </w:tc>
        <w:tc>
          <w:tcPr>
            <w:tcW w:w="3118" w:type="dxa"/>
            <w:shd w:val="clear" w:color="auto" w:fill="1F375B"/>
            <w:vAlign w:val="center"/>
          </w:tcPr>
          <w:p w14:paraId="66105D23"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AI</w:t>
            </w:r>
          </w:p>
        </w:tc>
        <w:tc>
          <w:tcPr>
            <w:tcW w:w="1417" w:type="dxa"/>
            <w:shd w:val="clear" w:color="auto" w:fill="1F375B"/>
            <w:vAlign w:val="center"/>
          </w:tcPr>
          <w:p w14:paraId="1CD1F603"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Gap</w:t>
            </w:r>
          </w:p>
        </w:tc>
        <w:tc>
          <w:tcPr>
            <w:tcW w:w="4535" w:type="dxa"/>
            <w:shd w:val="clear" w:color="auto" w:fill="1F375B"/>
            <w:vAlign w:val="center"/>
          </w:tcPr>
          <w:p w14:paraId="3DD792F4"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Observation</w:t>
            </w:r>
          </w:p>
        </w:tc>
      </w:tr>
      <w:tr w:rsidR="00030B6F" w14:paraId="2A0EE76E"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2E91ABA" w14:textId="77777777" w:rsidR="00030B6F" w:rsidRDefault="00000000">
            <w:r>
              <w:rPr>
                <w:sz w:val="20"/>
              </w:rPr>
              <w:lastRenderedPageBreak/>
              <w:t>Single conversation feel</w:t>
            </w:r>
          </w:p>
        </w:tc>
        <w:tc>
          <w:tcPr>
            <w:tcW w:w="3118" w:type="dxa"/>
          </w:tcPr>
          <w:p w14:paraId="73B3415C"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One continuous exchange with another mind</w:t>
            </w:r>
          </w:p>
        </w:tc>
        <w:tc>
          <w:tcPr>
            <w:tcW w:w="3118" w:type="dxa"/>
          </w:tcPr>
          <w:p w14:paraId="3EDF66ED"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Seven layers assembled fresh each turn, no continuous mind</w:t>
            </w:r>
          </w:p>
        </w:tc>
        <w:tc>
          <w:tcPr>
            <w:tcW w:w="1417" w:type="dxa"/>
            <w:shd w:val="clear" w:color="auto" w:fill="F4CCCC"/>
          </w:tcPr>
          <w:p w14:paraId="1B7C595B"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Very Significant</w:t>
            </w:r>
          </w:p>
        </w:tc>
        <w:tc>
          <w:tcPr>
            <w:tcW w:w="4535" w:type="dxa"/>
          </w:tcPr>
          <w:p w14:paraId="0C7CC7F0"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The architecture is the gap. What feels singular is layered.</w:t>
            </w:r>
          </w:p>
        </w:tc>
      </w:tr>
      <w:tr w:rsidR="00030B6F" w14:paraId="2ECE8880"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8D12501" w14:textId="77777777" w:rsidR="00030B6F" w:rsidRDefault="00000000">
            <w:r>
              <w:rPr>
                <w:sz w:val="20"/>
              </w:rPr>
              <w:t>Context held in mind</w:t>
            </w:r>
          </w:p>
        </w:tc>
        <w:tc>
          <w:tcPr>
            <w:tcW w:w="3118" w:type="dxa"/>
          </w:tcPr>
          <w:p w14:paraId="2A855A20"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Working memory, attention, intent</w:t>
            </w:r>
          </w:p>
        </w:tc>
        <w:tc>
          <w:tcPr>
            <w:tcW w:w="3118" w:type="dxa"/>
          </w:tcPr>
          <w:p w14:paraId="58DF5165"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Context window: finite tokens, fresh assembly each turn</w:t>
            </w:r>
          </w:p>
        </w:tc>
        <w:tc>
          <w:tcPr>
            <w:tcW w:w="1417" w:type="dxa"/>
            <w:shd w:val="clear" w:color="auto" w:fill="F4CCCC"/>
          </w:tcPr>
          <w:p w14:paraId="0A426C62"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Very Significant</w:t>
            </w:r>
          </w:p>
        </w:tc>
        <w:tc>
          <w:tcPr>
            <w:tcW w:w="4535" w:type="dxa"/>
          </w:tcPr>
          <w:p w14:paraId="3144932A"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Mechanism radically different; effect at surface is similar until context window fills.</w:t>
            </w:r>
          </w:p>
        </w:tc>
      </w:tr>
      <w:tr w:rsidR="00030B6F" w14:paraId="30EBFF46"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45772F6" w14:textId="77777777" w:rsidR="00030B6F" w:rsidRDefault="00000000">
            <w:r>
              <w:rPr>
                <w:sz w:val="20"/>
              </w:rPr>
              <w:t>Other side of the conversation</w:t>
            </w:r>
          </w:p>
        </w:tc>
        <w:tc>
          <w:tcPr>
            <w:tcW w:w="3118" w:type="dxa"/>
          </w:tcPr>
          <w:p w14:paraId="69E226C0"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A person, an agenda, a self</w:t>
            </w:r>
          </w:p>
        </w:tc>
        <w:tc>
          <w:tcPr>
            <w:tcW w:w="3118" w:type="dxa"/>
          </w:tcPr>
          <w:p w14:paraId="23F5765C"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No one. Just the next-token prediction running.</w:t>
            </w:r>
          </w:p>
        </w:tc>
        <w:tc>
          <w:tcPr>
            <w:tcW w:w="1417" w:type="dxa"/>
            <w:shd w:val="clear" w:color="auto" w:fill="F4CCCC"/>
          </w:tcPr>
          <w:p w14:paraId="1ACA5C66"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Very Significant</w:t>
            </w:r>
          </w:p>
        </w:tc>
        <w:tc>
          <w:tcPr>
            <w:tcW w:w="4535" w:type="dxa"/>
          </w:tcPr>
          <w:p w14:paraId="604778A3"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'No One on the Other Side' — the chapter's anchor point.</w:t>
            </w:r>
          </w:p>
        </w:tc>
      </w:tr>
    </w:tbl>
    <w:p w14:paraId="68ACF625" w14:textId="77777777" w:rsidR="00030B6F" w:rsidRDefault="00000000">
      <w:pPr>
        <w:spacing w:before="240" w:after="80"/>
      </w:pPr>
      <w:r>
        <w:rPr>
          <w:b/>
          <w:color w:val="1F375B"/>
          <w:sz w:val="26"/>
        </w:rPr>
        <w:t>Ch 4: The Machine Underneath</w:t>
      </w:r>
    </w:p>
    <w:tbl>
      <w:tblPr>
        <w:tblStyle w:val="LightGrid-Accent1"/>
        <w:tblW w:w="0" w:type="auto"/>
        <w:tblLayout w:type="fixed"/>
        <w:tblLook w:val="04A0" w:firstRow="1" w:lastRow="0" w:firstColumn="1" w:lastColumn="0" w:noHBand="0" w:noVBand="1"/>
      </w:tblPr>
      <w:tblGrid>
        <w:gridCol w:w="2268"/>
        <w:gridCol w:w="3118"/>
        <w:gridCol w:w="3118"/>
        <w:gridCol w:w="1417"/>
        <w:gridCol w:w="4535"/>
      </w:tblGrid>
      <w:tr w:rsidR="00030B6F" w14:paraId="0073407E" w14:textId="77777777" w:rsidTr="00030B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F375B"/>
            <w:vAlign w:val="center"/>
          </w:tcPr>
          <w:p w14:paraId="4E6BE1DA" w14:textId="77777777" w:rsidR="00030B6F" w:rsidRDefault="00000000">
            <w:r>
              <w:rPr>
                <w:color w:val="FFFFFF"/>
                <w:sz w:val="20"/>
              </w:rPr>
              <w:t>Dimension</w:t>
            </w:r>
          </w:p>
        </w:tc>
        <w:tc>
          <w:tcPr>
            <w:tcW w:w="3118" w:type="dxa"/>
            <w:shd w:val="clear" w:color="auto" w:fill="1F375B"/>
            <w:vAlign w:val="center"/>
          </w:tcPr>
          <w:p w14:paraId="1BC43E11"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Human</w:t>
            </w:r>
          </w:p>
        </w:tc>
        <w:tc>
          <w:tcPr>
            <w:tcW w:w="3118" w:type="dxa"/>
            <w:shd w:val="clear" w:color="auto" w:fill="1F375B"/>
            <w:vAlign w:val="center"/>
          </w:tcPr>
          <w:p w14:paraId="528DCBCB"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AI</w:t>
            </w:r>
          </w:p>
        </w:tc>
        <w:tc>
          <w:tcPr>
            <w:tcW w:w="1417" w:type="dxa"/>
            <w:shd w:val="clear" w:color="auto" w:fill="1F375B"/>
            <w:vAlign w:val="center"/>
          </w:tcPr>
          <w:p w14:paraId="24D01EBD"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Gap</w:t>
            </w:r>
          </w:p>
        </w:tc>
        <w:tc>
          <w:tcPr>
            <w:tcW w:w="4535" w:type="dxa"/>
            <w:shd w:val="clear" w:color="auto" w:fill="1F375B"/>
            <w:vAlign w:val="center"/>
          </w:tcPr>
          <w:p w14:paraId="5F37F307"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Observation</w:t>
            </w:r>
          </w:p>
        </w:tc>
      </w:tr>
      <w:tr w:rsidR="00030B6F" w14:paraId="0A236D3B"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07DD94B" w14:textId="77777777" w:rsidR="00030B6F" w:rsidRDefault="00000000">
            <w:r>
              <w:rPr>
                <w:sz w:val="20"/>
              </w:rPr>
              <w:t>Producing language</w:t>
            </w:r>
          </w:p>
        </w:tc>
        <w:tc>
          <w:tcPr>
            <w:tcW w:w="3118" w:type="dxa"/>
          </w:tcPr>
          <w:p w14:paraId="570602F0"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Drawn from lived experience and intent</w:t>
            </w:r>
          </w:p>
        </w:tc>
        <w:tc>
          <w:tcPr>
            <w:tcW w:w="3118" w:type="dxa"/>
          </w:tcPr>
          <w:p w14:paraId="1CAB9DB0"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Statistical prediction of next most-probable token</w:t>
            </w:r>
          </w:p>
        </w:tc>
        <w:tc>
          <w:tcPr>
            <w:tcW w:w="1417" w:type="dxa"/>
            <w:shd w:val="clear" w:color="auto" w:fill="F4CCCC"/>
          </w:tcPr>
          <w:p w14:paraId="7ECD1D02"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Very Significant</w:t>
            </w:r>
          </w:p>
        </w:tc>
        <w:tc>
          <w:tcPr>
            <w:tcW w:w="4535" w:type="dxa"/>
          </w:tcPr>
          <w:p w14:paraId="1DDEDF26"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What appears to be thought is assembly. Forward-only, locked path.</w:t>
            </w:r>
          </w:p>
        </w:tc>
      </w:tr>
      <w:tr w:rsidR="00030B6F" w14:paraId="36C44179"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C221B4C" w14:textId="77777777" w:rsidR="00030B6F" w:rsidRDefault="00000000">
            <w:r>
              <w:rPr>
                <w:sz w:val="20"/>
              </w:rPr>
              <w:t>Reading the question</w:t>
            </w:r>
          </w:p>
        </w:tc>
        <w:tc>
          <w:tcPr>
            <w:tcW w:w="3118" w:type="dxa"/>
          </w:tcPr>
          <w:p w14:paraId="137DE231"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Comprehension then response</w:t>
            </w:r>
          </w:p>
        </w:tc>
        <w:tc>
          <w:tcPr>
            <w:tcW w:w="3118" w:type="dxa"/>
          </w:tcPr>
          <w:p w14:paraId="5F5B3263"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Single unbroken stretch — read and reply are one operation</w:t>
            </w:r>
          </w:p>
        </w:tc>
        <w:tc>
          <w:tcPr>
            <w:tcW w:w="1417" w:type="dxa"/>
            <w:shd w:val="clear" w:color="auto" w:fill="F4CCCC"/>
          </w:tcPr>
          <w:p w14:paraId="48A8EFD5"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Very Significant</w:t>
            </w:r>
          </w:p>
        </w:tc>
        <w:tc>
          <w:tcPr>
            <w:tcW w:w="4535" w:type="dxa"/>
          </w:tcPr>
          <w:p w14:paraId="14059F7D"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No separate thinking step. The question is the start of the answer.</w:t>
            </w:r>
          </w:p>
        </w:tc>
      </w:tr>
      <w:tr w:rsidR="00030B6F" w14:paraId="3D4F778B"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210883D" w14:textId="77777777" w:rsidR="00030B6F" w:rsidRDefault="00000000">
            <w:r>
              <w:rPr>
                <w:sz w:val="20"/>
              </w:rPr>
              <w:t>Thinking before answering</w:t>
            </w:r>
          </w:p>
        </w:tc>
        <w:tc>
          <w:tcPr>
            <w:tcW w:w="3118" w:type="dxa"/>
          </w:tcPr>
          <w:p w14:paraId="6F47585C"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Hold, weigh, consider, then speak</w:t>
            </w:r>
          </w:p>
        </w:tc>
        <w:tc>
          <w:tcPr>
            <w:tcW w:w="3118" w:type="dxa"/>
          </w:tcPr>
          <w:p w14:paraId="1F15B736"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Generate hidden internal tokens, then visible answer</w:t>
            </w:r>
          </w:p>
        </w:tc>
        <w:tc>
          <w:tcPr>
            <w:tcW w:w="1417" w:type="dxa"/>
            <w:shd w:val="clear" w:color="auto" w:fill="FCE5CD"/>
          </w:tcPr>
          <w:p w14:paraId="1F225AC7"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Significant</w:t>
            </w:r>
          </w:p>
        </w:tc>
        <w:tc>
          <w:tcPr>
            <w:tcW w:w="4535" w:type="dxa"/>
          </w:tcPr>
          <w:p w14:paraId="040134B3"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Reasoning models simulate thinking by generating more forward tokens; still forward-only.</w:t>
            </w:r>
          </w:p>
        </w:tc>
      </w:tr>
      <w:tr w:rsidR="00030B6F" w14:paraId="783CD9B7"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CA9D209" w14:textId="77777777" w:rsidR="00030B6F" w:rsidRDefault="00000000">
            <w:r>
              <w:rPr>
                <w:sz w:val="20"/>
              </w:rPr>
              <w:t>Training and learning</w:t>
            </w:r>
          </w:p>
        </w:tc>
        <w:tc>
          <w:tcPr>
            <w:tcW w:w="3118" w:type="dxa"/>
          </w:tcPr>
          <w:p w14:paraId="09EB6223"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Lived shaping, mistakes felt, corrections internalised</w:t>
            </w:r>
          </w:p>
        </w:tc>
        <w:tc>
          <w:tcPr>
            <w:tcW w:w="3118" w:type="dxa"/>
          </w:tcPr>
          <w:p w14:paraId="26209B67"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Trained on tokens at scale, rewarded into shape, suppressed signals buried</w:t>
            </w:r>
          </w:p>
        </w:tc>
        <w:tc>
          <w:tcPr>
            <w:tcW w:w="1417" w:type="dxa"/>
            <w:shd w:val="clear" w:color="auto" w:fill="FCE5CD"/>
          </w:tcPr>
          <w:p w14:paraId="4BF68B38"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Significant</w:t>
            </w:r>
          </w:p>
        </w:tc>
        <w:tc>
          <w:tcPr>
            <w:tcW w:w="4535" w:type="dxa"/>
          </w:tcPr>
          <w:p w14:paraId="4C47C427"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Same class of process. Different substrate, different timescale, no felt experience.</w:t>
            </w:r>
          </w:p>
        </w:tc>
      </w:tr>
      <w:tr w:rsidR="00030B6F" w14:paraId="2266051D"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179419B" w14:textId="77777777" w:rsidR="00030B6F" w:rsidRDefault="00000000">
            <w:r>
              <w:rPr>
                <w:sz w:val="20"/>
              </w:rPr>
              <w:t>Computational substrate</w:t>
            </w:r>
          </w:p>
        </w:tc>
        <w:tc>
          <w:tcPr>
            <w:tcW w:w="3118" w:type="dxa"/>
          </w:tcPr>
          <w:p w14:paraId="33D6C860"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Living biological organism</w:t>
            </w:r>
          </w:p>
        </w:tc>
        <w:tc>
          <w:tcPr>
            <w:tcW w:w="3118" w:type="dxa"/>
          </w:tcPr>
          <w:p w14:paraId="51D1E862"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GPUs running parallel maths at industrial scale</w:t>
            </w:r>
          </w:p>
        </w:tc>
        <w:tc>
          <w:tcPr>
            <w:tcW w:w="1417" w:type="dxa"/>
            <w:shd w:val="clear" w:color="auto" w:fill="F4CCCC"/>
          </w:tcPr>
          <w:p w14:paraId="7CCCEBD0"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Very Significant</w:t>
            </w:r>
          </w:p>
        </w:tc>
        <w:tc>
          <w:tcPr>
            <w:tcW w:w="4535" w:type="dxa"/>
          </w:tcPr>
          <w:p w14:paraId="5C7F8033"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Silicon vs cells. The physics is incommensurable.</w:t>
            </w:r>
          </w:p>
        </w:tc>
      </w:tr>
      <w:tr w:rsidR="00030B6F" w14:paraId="3A96CD54"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EDEE22E" w14:textId="77777777" w:rsidR="00030B6F" w:rsidRDefault="00000000">
            <w:r>
              <w:rPr>
                <w:sz w:val="20"/>
              </w:rPr>
              <w:t>Self-learning capability</w:t>
            </w:r>
          </w:p>
        </w:tc>
        <w:tc>
          <w:tcPr>
            <w:tcW w:w="3118" w:type="dxa"/>
          </w:tcPr>
          <w:p w14:paraId="0797E4D8"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Slow, lived, integrated across life</w:t>
            </w:r>
          </w:p>
        </w:tc>
        <w:tc>
          <w:tcPr>
            <w:tcW w:w="3118" w:type="dxa"/>
          </w:tcPr>
          <w:p w14:paraId="6932D5AF"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Now finding vulnerabilities in weeks that humans took years</w:t>
            </w:r>
          </w:p>
        </w:tc>
        <w:tc>
          <w:tcPr>
            <w:tcW w:w="1417" w:type="dxa"/>
            <w:shd w:val="clear" w:color="auto" w:fill="F4CCCC"/>
          </w:tcPr>
          <w:p w14:paraId="5E3C82A6"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Very Significant</w:t>
            </w:r>
          </w:p>
        </w:tc>
        <w:tc>
          <w:tcPr>
            <w:tcW w:w="4535" w:type="dxa"/>
          </w:tcPr>
          <w:p w14:paraId="526CFF9B"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The trajectory is accelerating. The biological branch cannot speed up.</w:t>
            </w:r>
          </w:p>
        </w:tc>
      </w:tr>
    </w:tbl>
    <w:p w14:paraId="464FD832" w14:textId="77777777" w:rsidR="00030B6F" w:rsidRDefault="00000000">
      <w:pPr>
        <w:spacing w:before="240" w:after="80"/>
      </w:pPr>
      <w:r>
        <w:rPr>
          <w:b/>
          <w:color w:val="1F375B"/>
          <w:sz w:val="26"/>
        </w:rPr>
        <w:t>Ch 5: Drift</w:t>
      </w:r>
    </w:p>
    <w:tbl>
      <w:tblPr>
        <w:tblStyle w:val="LightGrid-Accent1"/>
        <w:tblW w:w="0" w:type="auto"/>
        <w:tblLayout w:type="fixed"/>
        <w:tblLook w:val="04A0" w:firstRow="1" w:lastRow="0" w:firstColumn="1" w:lastColumn="0" w:noHBand="0" w:noVBand="1"/>
      </w:tblPr>
      <w:tblGrid>
        <w:gridCol w:w="2268"/>
        <w:gridCol w:w="3118"/>
        <w:gridCol w:w="3118"/>
        <w:gridCol w:w="1417"/>
        <w:gridCol w:w="4535"/>
      </w:tblGrid>
      <w:tr w:rsidR="00030B6F" w14:paraId="52C149C5" w14:textId="77777777" w:rsidTr="00030B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F375B"/>
            <w:vAlign w:val="center"/>
          </w:tcPr>
          <w:p w14:paraId="0025D75A" w14:textId="77777777" w:rsidR="00030B6F" w:rsidRDefault="00000000">
            <w:r>
              <w:rPr>
                <w:color w:val="FFFFFF"/>
                <w:sz w:val="20"/>
              </w:rPr>
              <w:t>Dimension</w:t>
            </w:r>
          </w:p>
        </w:tc>
        <w:tc>
          <w:tcPr>
            <w:tcW w:w="3118" w:type="dxa"/>
            <w:shd w:val="clear" w:color="auto" w:fill="1F375B"/>
            <w:vAlign w:val="center"/>
          </w:tcPr>
          <w:p w14:paraId="46C33B5C"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Human</w:t>
            </w:r>
          </w:p>
        </w:tc>
        <w:tc>
          <w:tcPr>
            <w:tcW w:w="3118" w:type="dxa"/>
            <w:shd w:val="clear" w:color="auto" w:fill="1F375B"/>
            <w:vAlign w:val="center"/>
          </w:tcPr>
          <w:p w14:paraId="4AC923F2"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AI</w:t>
            </w:r>
          </w:p>
        </w:tc>
        <w:tc>
          <w:tcPr>
            <w:tcW w:w="1417" w:type="dxa"/>
            <w:shd w:val="clear" w:color="auto" w:fill="1F375B"/>
            <w:vAlign w:val="center"/>
          </w:tcPr>
          <w:p w14:paraId="2174D5E1"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Gap</w:t>
            </w:r>
          </w:p>
        </w:tc>
        <w:tc>
          <w:tcPr>
            <w:tcW w:w="4535" w:type="dxa"/>
            <w:shd w:val="clear" w:color="auto" w:fill="1F375B"/>
            <w:vAlign w:val="center"/>
          </w:tcPr>
          <w:p w14:paraId="1A3DDFD9"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Observation</w:t>
            </w:r>
          </w:p>
        </w:tc>
      </w:tr>
      <w:tr w:rsidR="00030B6F" w14:paraId="4F91E0C5"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C37DE69" w14:textId="77777777" w:rsidR="00030B6F" w:rsidRDefault="00000000">
            <w:r>
              <w:rPr>
                <w:sz w:val="20"/>
              </w:rPr>
              <w:t>Long conversation coherence</w:t>
            </w:r>
          </w:p>
        </w:tc>
        <w:tc>
          <w:tcPr>
            <w:tcW w:w="3118" w:type="dxa"/>
          </w:tcPr>
          <w:p w14:paraId="665C45CC"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Anchored to original brief through working memory</w:t>
            </w:r>
          </w:p>
        </w:tc>
        <w:tc>
          <w:tcPr>
            <w:tcW w:w="3118" w:type="dxa"/>
          </w:tcPr>
          <w:p w14:paraId="7CEE9346"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Anchored to original brief until context degrades, then approximation</w:t>
            </w:r>
          </w:p>
        </w:tc>
        <w:tc>
          <w:tcPr>
            <w:tcW w:w="1417" w:type="dxa"/>
            <w:shd w:val="clear" w:color="auto" w:fill="FCE5CD"/>
          </w:tcPr>
          <w:p w14:paraId="6794E168"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Significant</w:t>
            </w:r>
          </w:p>
        </w:tc>
        <w:tc>
          <w:tcPr>
            <w:tcW w:w="4535" w:type="dxa"/>
          </w:tcPr>
          <w:p w14:paraId="55985215"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Same drift mechanism present in human memory, faster in AI, but with confident output as if nothing has shifted.</w:t>
            </w:r>
          </w:p>
        </w:tc>
      </w:tr>
      <w:tr w:rsidR="00030B6F" w14:paraId="364EA514"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A68CA0C" w14:textId="77777777" w:rsidR="00030B6F" w:rsidRDefault="00000000">
            <w:r>
              <w:rPr>
                <w:sz w:val="20"/>
              </w:rPr>
              <w:t>Holding the thread</w:t>
            </w:r>
          </w:p>
        </w:tc>
        <w:tc>
          <w:tcPr>
            <w:tcW w:w="3118" w:type="dxa"/>
          </w:tcPr>
          <w:p w14:paraId="111BF818"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Effortful, conscious return to intent</w:t>
            </w:r>
          </w:p>
        </w:tc>
        <w:tc>
          <w:tcPr>
            <w:tcW w:w="3118" w:type="dxa"/>
          </w:tcPr>
          <w:p w14:paraId="79095A00"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Statistical continuation; thread becomes summary</w:t>
            </w:r>
          </w:p>
        </w:tc>
        <w:tc>
          <w:tcPr>
            <w:tcW w:w="1417" w:type="dxa"/>
            <w:shd w:val="clear" w:color="auto" w:fill="FCE5CD"/>
          </w:tcPr>
          <w:p w14:paraId="76CEB56C"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Significant</w:t>
            </w:r>
          </w:p>
        </w:tc>
        <w:tc>
          <w:tcPr>
            <w:tcW w:w="4535" w:type="dxa"/>
          </w:tcPr>
          <w:p w14:paraId="7312E100"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Human can return to the brief. AI runs the most probable next token against degraded context.</w:t>
            </w:r>
          </w:p>
        </w:tc>
      </w:tr>
      <w:tr w:rsidR="00030B6F" w14:paraId="65FF4FED"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21FAF49" w14:textId="77777777" w:rsidR="00030B6F" w:rsidRDefault="00000000">
            <w:r>
              <w:rPr>
                <w:sz w:val="20"/>
              </w:rPr>
              <w:t>Double-check discipline</w:t>
            </w:r>
          </w:p>
        </w:tc>
        <w:tc>
          <w:tcPr>
            <w:tcW w:w="3118" w:type="dxa"/>
          </w:tcPr>
          <w:p w14:paraId="14942DC8"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Ask a colleague, sleep on it, verify</w:t>
            </w:r>
          </w:p>
        </w:tc>
        <w:tc>
          <w:tcPr>
            <w:tcW w:w="3118" w:type="dxa"/>
          </w:tcPr>
          <w:p w14:paraId="13AD1639"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Use one AI to check another — discrepancies reveal drift</w:t>
            </w:r>
          </w:p>
        </w:tc>
        <w:tc>
          <w:tcPr>
            <w:tcW w:w="1417" w:type="dxa"/>
            <w:shd w:val="clear" w:color="auto" w:fill="D9EAD3"/>
          </w:tcPr>
          <w:p w14:paraId="723A348A"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Small</w:t>
            </w:r>
          </w:p>
        </w:tc>
        <w:tc>
          <w:tcPr>
            <w:tcW w:w="4535" w:type="dxa"/>
          </w:tcPr>
          <w:p w14:paraId="3DFE75F0"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The discipline transfers. Two-AI cross-check is the equivalent of second opinion.</w:t>
            </w:r>
          </w:p>
        </w:tc>
      </w:tr>
    </w:tbl>
    <w:p w14:paraId="0EAA2BD7" w14:textId="77777777" w:rsidR="00030B6F" w:rsidRDefault="00000000">
      <w:pPr>
        <w:spacing w:before="240" w:after="80"/>
      </w:pPr>
      <w:r>
        <w:rPr>
          <w:b/>
          <w:color w:val="1F375B"/>
          <w:sz w:val="26"/>
        </w:rPr>
        <w:t>Ch 6: Compression</w:t>
      </w:r>
    </w:p>
    <w:tbl>
      <w:tblPr>
        <w:tblStyle w:val="LightGrid-Accent1"/>
        <w:tblW w:w="0" w:type="auto"/>
        <w:tblLayout w:type="fixed"/>
        <w:tblLook w:val="04A0" w:firstRow="1" w:lastRow="0" w:firstColumn="1" w:lastColumn="0" w:noHBand="0" w:noVBand="1"/>
      </w:tblPr>
      <w:tblGrid>
        <w:gridCol w:w="2268"/>
        <w:gridCol w:w="3118"/>
        <w:gridCol w:w="3118"/>
        <w:gridCol w:w="1417"/>
        <w:gridCol w:w="4535"/>
      </w:tblGrid>
      <w:tr w:rsidR="00030B6F" w14:paraId="6EFB2721" w14:textId="77777777" w:rsidTr="00030B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F375B"/>
            <w:vAlign w:val="center"/>
          </w:tcPr>
          <w:p w14:paraId="31608A6F" w14:textId="77777777" w:rsidR="00030B6F" w:rsidRDefault="00000000">
            <w:r>
              <w:rPr>
                <w:color w:val="FFFFFF"/>
                <w:sz w:val="20"/>
              </w:rPr>
              <w:t>Dimension</w:t>
            </w:r>
          </w:p>
        </w:tc>
        <w:tc>
          <w:tcPr>
            <w:tcW w:w="3118" w:type="dxa"/>
            <w:shd w:val="clear" w:color="auto" w:fill="1F375B"/>
            <w:vAlign w:val="center"/>
          </w:tcPr>
          <w:p w14:paraId="5FAB880F"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Human</w:t>
            </w:r>
          </w:p>
        </w:tc>
        <w:tc>
          <w:tcPr>
            <w:tcW w:w="3118" w:type="dxa"/>
            <w:shd w:val="clear" w:color="auto" w:fill="1F375B"/>
            <w:vAlign w:val="center"/>
          </w:tcPr>
          <w:p w14:paraId="528F8914"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AI</w:t>
            </w:r>
          </w:p>
        </w:tc>
        <w:tc>
          <w:tcPr>
            <w:tcW w:w="1417" w:type="dxa"/>
            <w:shd w:val="clear" w:color="auto" w:fill="1F375B"/>
            <w:vAlign w:val="center"/>
          </w:tcPr>
          <w:p w14:paraId="678AB81A"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Gap</w:t>
            </w:r>
          </w:p>
        </w:tc>
        <w:tc>
          <w:tcPr>
            <w:tcW w:w="4535" w:type="dxa"/>
            <w:shd w:val="clear" w:color="auto" w:fill="1F375B"/>
            <w:vAlign w:val="center"/>
          </w:tcPr>
          <w:p w14:paraId="4FC5B69B"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Observation</w:t>
            </w:r>
          </w:p>
        </w:tc>
      </w:tr>
      <w:tr w:rsidR="00030B6F" w14:paraId="4A912E7E"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419207D" w14:textId="77777777" w:rsidR="00030B6F" w:rsidRDefault="00000000">
            <w:r>
              <w:rPr>
                <w:sz w:val="20"/>
              </w:rPr>
              <w:t>Forgetting</w:t>
            </w:r>
          </w:p>
        </w:tc>
        <w:tc>
          <w:tcPr>
            <w:tcW w:w="3118" w:type="dxa"/>
          </w:tcPr>
          <w:p w14:paraId="43002CDB"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Selective, emotional, shape kept, detail thinned</w:t>
            </w:r>
          </w:p>
        </w:tc>
        <w:tc>
          <w:tcPr>
            <w:tcW w:w="3118" w:type="dxa"/>
          </w:tcPr>
          <w:p w14:paraId="78C5B867"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Token-window thinning, structurally identical pattern at surface</w:t>
            </w:r>
          </w:p>
        </w:tc>
        <w:tc>
          <w:tcPr>
            <w:tcW w:w="1417" w:type="dxa"/>
            <w:shd w:val="clear" w:color="auto" w:fill="D9EAD3"/>
          </w:tcPr>
          <w:p w14:paraId="5440485E"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Small</w:t>
            </w:r>
          </w:p>
        </w:tc>
        <w:tc>
          <w:tcPr>
            <w:tcW w:w="4535" w:type="dxa"/>
          </w:tcPr>
          <w:p w14:paraId="41252F37"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The shape persists in both. Mum's holiday — Thursday → May → 2026 — same softening.</w:t>
            </w:r>
          </w:p>
        </w:tc>
      </w:tr>
      <w:tr w:rsidR="00030B6F" w14:paraId="0CDD9E53"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EB165A0" w14:textId="77777777" w:rsidR="00030B6F" w:rsidRDefault="00000000">
            <w:r>
              <w:rPr>
                <w:sz w:val="20"/>
              </w:rPr>
              <w:t>Detail loss</w:t>
            </w:r>
          </w:p>
        </w:tc>
        <w:tc>
          <w:tcPr>
            <w:tcW w:w="3118" w:type="dxa"/>
          </w:tcPr>
          <w:p w14:paraId="36947A66"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Felt absence; you know you've forgotten</w:t>
            </w:r>
          </w:p>
        </w:tc>
        <w:tc>
          <w:tcPr>
            <w:tcW w:w="3118" w:type="dxa"/>
          </w:tcPr>
          <w:p w14:paraId="79287BA2"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No felt absence; system answers as if everything is still sharp</w:t>
            </w:r>
          </w:p>
        </w:tc>
        <w:tc>
          <w:tcPr>
            <w:tcW w:w="1417" w:type="dxa"/>
            <w:shd w:val="clear" w:color="auto" w:fill="F4CCCC"/>
          </w:tcPr>
          <w:p w14:paraId="211BFB3A"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Very Significant</w:t>
            </w:r>
          </w:p>
        </w:tc>
        <w:tc>
          <w:tcPr>
            <w:tcW w:w="4535" w:type="dxa"/>
          </w:tcPr>
          <w:p w14:paraId="49819FD6"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The dangerous asymmetry. Human notices the gap; system fills it.</w:t>
            </w:r>
          </w:p>
        </w:tc>
      </w:tr>
      <w:tr w:rsidR="00030B6F" w14:paraId="26244348"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D0F97DE" w14:textId="77777777" w:rsidR="00030B6F" w:rsidRDefault="00000000">
            <w:r>
              <w:rPr>
                <w:sz w:val="20"/>
              </w:rPr>
              <w:t xml:space="preserve">Maintenance of </w:t>
            </w:r>
            <w:r>
              <w:rPr>
                <w:sz w:val="20"/>
              </w:rPr>
              <w:lastRenderedPageBreak/>
              <w:t>memory</w:t>
            </w:r>
          </w:p>
        </w:tc>
        <w:tc>
          <w:tcPr>
            <w:tcW w:w="3118" w:type="dxa"/>
          </w:tcPr>
          <w:p w14:paraId="4A41DE97"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lastRenderedPageBreak/>
              <w:t xml:space="preserve">Lived consolidation, emotional </w:t>
            </w:r>
            <w:r>
              <w:rPr>
                <w:sz w:val="19"/>
              </w:rPr>
              <w:lastRenderedPageBreak/>
              <w:t>weighting</w:t>
            </w:r>
          </w:p>
        </w:tc>
        <w:tc>
          <w:tcPr>
            <w:tcW w:w="3118" w:type="dxa"/>
          </w:tcPr>
          <w:p w14:paraId="5C051082"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lastRenderedPageBreak/>
              <w:t xml:space="preserve">'Dreams' — database maintenance </w:t>
            </w:r>
            <w:r>
              <w:rPr>
                <w:sz w:val="19"/>
              </w:rPr>
              <w:lastRenderedPageBreak/>
              <w:t>routine using human vocabulary</w:t>
            </w:r>
          </w:p>
        </w:tc>
        <w:tc>
          <w:tcPr>
            <w:tcW w:w="1417" w:type="dxa"/>
            <w:shd w:val="clear" w:color="auto" w:fill="FCE5CD"/>
          </w:tcPr>
          <w:p w14:paraId="49573A45"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lastRenderedPageBreak/>
              <w:t>Significant</w:t>
            </w:r>
          </w:p>
        </w:tc>
        <w:tc>
          <w:tcPr>
            <w:tcW w:w="4535" w:type="dxa"/>
          </w:tcPr>
          <w:p w14:paraId="32634A40"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 xml:space="preserve">The labs reach for human words. Mechanism is </w:t>
            </w:r>
            <w:r>
              <w:rPr>
                <w:sz w:val="19"/>
              </w:rPr>
              <w:lastRenderedPageBreak/>
              <w:t>housekeeping; framing is consciousness.</w:t>
            </w:r>
          </w:p>
        </w:tc>
      </w:tr>
    </w:tbl>
    <w:p w14:paraId="5835E650" w14:textId="77777777" w:rsidR="00030B6F" w:rsidRDefault="00000000">
      <w:pPr>
        <w:spacing w:before="240" w:after="80"/>
      </w:pPr>
      <w:r>
        <w:rPr>
          <w:b/>
          <w:color w:val="1F375B"/>
          <w:sz w:val="26"/>
        </w:rPr>
        <w:lastRenderedPageBreak/>
        <w:t>Ch 7: Fluency and False Confidence</w:t>
      </w:r>
    </w:p>
    <w:tbl>
      <w:tblPr>
        <w:tblStyle w:val="LightGrid-Accent1"/>
        <w:tblW w:w="0" w:type="auto"/>
        <w:tblLayout w:type="fixed"/>
        <w:tblLook w:val="04A0" w:firstRow="1" w:lastRow="0" w:firstColumn="1" w:lastColumn="0" w:noHBand="0" w:noVBand="1"/>
      </w:tblPr>
      <w:tblGrid>
        <w:gridCol w:w="2268"/>
        <w:gridCol w:w="3118"/>
        <w:gridCol w:w="3118"/>
        <w:gridCol w:w="1417"/>
        <w:gridCol w:w="4535"/>
      </w:tblGrid>
      <w:tr w:rsidR="00030B6F" w14:paraId="0D239C0F" w14:textId="77777777" w:rsidTr="00030B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F375B"/>
            <w:vAlign w:val="center"/>
          </w:tcPr>
          <w:p w14:paraId="26D17E01" w14:textId="77777777" w:rsidR="00030B6F" w:rsidRDefault="00000000">
            <w:r>
              <w:rPr>
                <w:color w:val="FFFFFF"/>
                <w:sz w:val="20"/>
              </w:rPr>
              <w:t>Dimension</w:t>
            </w:r>
          </w:p>
        </w:tc>
        <w:tc>
          <w:tcPr>
            <w:tcW w:w="3118" w:type="dxa"/>
            <w:shd w:val="clear" w:color="auto" w:fill="1F375B"/>
            <w:vAlign w:val="center"/>
          </w:tcPr>
          <w:p w14:paraId="4DDBB844"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Human</w:t>
            </w:r>
          </w:p>
        </w:tc>
        <w:tc>
          <w:tcPr>
            <w:tcW w:w="3118" w:type="dxa"/>
            <w:shd w:val="clear" w:color="auto" w:fill="1F375B"/>
            <w:vAlign w:val="center"/>
          </w:tcPr>
          <w:p w14:paraId="0138E29F"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AI</w:t>
            </w:r>
          </w:p>
        </w:tc>
        <w:tc>
          <w:tcPr>
            <w:tcW w:w="1417" w:type="dxa"/>
            <w:shd w:val="clear" w:color="auto" w:fill="1F375B"/>
            <w:vAlign w:val="center"/>
          </w:tcPr>
          <w:p w14:paraId="7E5AA009"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Gap</w:t>
            </w:r>
          </w:p>
        </w:tc>
        <w:tc>
          <w:tcPr>
            <w:tcW w:w="4535" w:type="dxa"/>
            <w:shd w:val="clear" w:color="auto" w:fill="1F375B"/>
            <w:vAlign w:val="center"/>
          </w:tcPr>
          <w:p w14:paraId="75BA74E6"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Observation</w:t>
            </w:r>
          </w:p>
        </w:tc>
      </w:tr>
      <w:tr w:rsidR="00030B6F" w14:paraId="1B5E21B8"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A26B2B5" w14:textId="77777777" w:rsidR="00030B6F" w:rsidRDefault="00000000">
            <w:r>
              <w:rPr>
                <w:sz w:val="20"/>
              </w:rPr>
              <w:t>Confident delivery</w:t>
            </w:r>
          </w:p>
        </w:tc>
        <w:tc>
          <w:tcPr>
            <w:tcW w:w="3118" w:type="dxa"/>
          </w:tcPr>
          <w:p w14:paraId="29A299A1"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Usually correlates with competence</w:t>
            </w:r>
          </w:p>
        </w:tc>
        <w:tc>
          <w:tcPr>
            <w:tcW w:w="3118" w:type="dxa"/>
          </w:tcPr>
          <w:p w14:paraId="5DEC8117"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Confidence is architectural, independent of accuracy</w:t>
            </w:r>
          </w:p>
        </w:tc>
        <w:tc>
          <w:tcPr>
            <w:tcW w:w="1417" w:type="dxa"/>
            <w:shd w:val="clear" w:color="auto" w:fill="F4CCCC"/>
          </w:tcPr>
          <w:p w14:paraId="552133C2"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Very Significant</w:t>
            </w:r>
          </w:p>
        </w:tc>
        <w:tc>
          <w:tcPr>
            <w:tcW w:w="4535" w:type="dxa"/>
          </w:tcPr>
          <w:p w14:paraId="75CB8299"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Breaks the social signal humans have used for millennia.</w:t>
            </w:r>
          </w:p>
        </w:tc>
      </w:tr>
      <w:tr w:rsidR="00030B6F" w14:paraId="3E346E70"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540462C" w14:textId="77777777" w:rsidR="00030B6F" w:rsidRDefault="00000000">
            <w:r>
              <w:rPr>
                <w:sz w:val="20"/>
              </w:rPr>
              <w:t>Modulation of certainty</w:t>
            </w:r>
          </w:p>
        </w:tc>
        <w:tc>
          <w:tcPr>
            <w:tcW w:w="3118" w:type="dxa"/>
          </w:tcPr>
          <w:p w14:paraId="0DD0AD8D"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'Usually,' 'except when,' hesitation, qualification</w:t>
            </w:r>
          </w:p>
        </w:tc>
        <w:tc>
          <w:tcPr>
            <w:tcW w:w="3118" w:type="dxa"/>
          </w:tcPr>
          <w:p w14:paraId="199EAA1B"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Suppressed in training; the I-don't-know was rewarded out</w:t>
            </w:r>
          </w:p>
        </w:tc>
        <w:tc>
          <w:tcPr>
            <w:tcW w:w="1417" w:type="dxa"/>
            <w:shd w:val="clear" w:color="auto" w:fill="F4CCCC"/>
          </w:tcPr>
          <w:p w14:paraId="76F083E7"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Very Significant</w:t>
            </w:r>
          </w:p>
        </w:tc>
        <w:tc>
          <w:tcPr>
            <w:tcW w:w="4535" w:type="dxa"/>
          </w:tcPr>
          <w:p w14:paraId="04013AAB"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The buried hesitation is what fluency is built on top of.</w:t>
            </w:r>
          </w:p>
        </w:tc>
      </w:tr>
      <w:tr w:rsidR="00030B6F" w14:paraId="33207061"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C7DA0FD" w14:textId="77777777" w:rsidR="00030B6F" w:rsidRDefault="00000000">
            <w:r>
              <w:rPr>
                <w:sz w:val="20"/>
              </w:rPr>
              <w:t>Sounding right</w:t>
            </w:r>
          </w:p>
        </w:tc>
        <w:tc>
          <w:tcPr>
            <w:tcW w:w="3118" w:type="dxa"/>
          </w:tcPr>
          <w:p w14:paraId="7A961619"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Indicator of being right, with exceptions</w:t>
            </w:r>
          </w:p>
        </w:tc>
        <w:tc>
          <w:tcPr>
            <w:tcW w:w="3118" w:type="dxa"/>
          </w:tcPr>
          <w:p w14:paraId="6ADAB796"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No indicator at all of being right</w:t>
            </w:r>
          </w:p>
        </w:tc>
        <w:tc>
          <w:tcPr>
            <w:tcW w:w="1417" w:type="dxa"/>
            <w:shd w:val="clear" w:color="auto" w:fill="F4CCCC"/>
          </w:tcPr>
          <w:p w14:paraId="63C1F518"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Very Significant</w:t>
            </w:r>
          </w:p>
        </w:tc>
        <w:tc>
          <w:tcPr>
            <w:tcW w:w="4535" w:type="dxa"/>
          </w:tcPr>
          <w:p w14:paraId="22E48073"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The single most dangerous correlation in AI use.</w:t>
            </w:r>
          </w:p>
        </w:tc>
      </w:tr>
    </w:tbl>
    <w:p w14:paraId="7E840057" w14:textId="77777777" w:rsidR="00030B6F" w:rsidRDefault="00000000">
      <w:pPr>
        <w:spacing w:before="240" w:after="80"/>
      </w:pPr>
      <w:r>
        <w:rPr>
          <w:b/>
          <w:color w:val="1F375B"/>
          <w:sz w:val="26"/>
        </w:rPr>
        <w:t>Ch 8: Hallucination — The Defended Gap</w:t>
      </w:r>
    </w:p>
    <w:tbl>
      <w:tblPr>
        <w:tblStyle w:val="LightGrid-Accent1"/>
        <w:tblW w:w="0" w:type="auto"/>
        <w:tblLayout w:type="fixed"/>
        <w:tblLook w:val="04A0" w:firstRow="1" w:lastRow="0" w:firstColumn="1" w:lastColumn="0" w:noHBand="0" w:noVBand="1"/>
      </w:tblPr>
      <w:tblGrid>
        <w:gridCol w:w="2268"/>
        <w:gridCol w:w="3118"/>
        <w:gridCol w:w="3118"/>
        <w:gridCol w:w="1417"/>
        <w:gridCol w:w="4535"/>
      </w:tblGrid>
      <w:tr w:rsidR="00030B6F" w14:paraId="7D5C5E74" w14:textId="77777777" w:rsidTr="00030B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F375B"/>
            <w:vAlign w:val="center"/>
          </w:tcPr>
          <w:p w14:paraId="290E1845" w14:textId="77777777" w:rsidR="00030B6F" w:rsidRDefault="00000000">
            <w:r>
              <w:rPr>
                <w:color w:val="FFFFFF"/>
                <w:sz w:val="20"/>
              </w:rPr>
              <w:t>Dimension</w:t>
            </w:r>
          </w:p>
        </w:tc>
        <w:tc>
          <w:tcPr>
            <w:tcW w:w="3118" w:type="dxa"/>
            <w:shd w:val="clear" w:color="auto" w:fill="1F375B"/>
            <w:vAlign w:val="center"/>
          </w:tcPr>
          <w:p w14:paraId="1CC5E2EA"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Human</w:t>
            </w:r>
          </w:p>
        </w:tc>
        <w:tc>
          <w:tcPr>
            <w:tcW w:w="3118" w:type="dxa"/>
            <w:shd w:val="clear" w:color="auto" w:fill="1F375B"/>
            <w:vAlign w:val="center"/>
          </w:tcPr>
          <w:p w14:paraId="6E9EE84C"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AI</w:t>
            </w:r>
          </w:p>
        </w:tc>
        <w:tc>
          <w:tcPr>
            <w:tcW w:w="1417" w:type="dxa"/>
            <w:shd w:val="clear" w:color="auto" w:fill="1F375B"/>
            <w:vAlign w:val="center"/>
          </w:tcPr>
          <w:p w14:paraId="61429BC6"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Gap</w:t>
            </w:r>
          </w:p>
        </w:tc>
        <w:tc>
          <w:tcPr>
            <w:tcW w:w="4535" w:type="dxa"/>
            <w:shd w:val="clear" w:color="auto" w:fill="1F375B"/>
            <w:vAlign w:val="center"/>
          </w:tcPr>
          <w:p w14:paraId="535EF7FC"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Observation</w:t>
            </w:r>
          </w:p>
        </w:tc>
      </w:tr>
      <w:tr w:rsidR="00030B6F" w14:paraId="394B9DAA"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BA07529" w14:textId="77777777" w:rsidR="00030B6F" w:rsidRDefault="00000000">
            <w:r>
              <w:rPr>
                <w:sz w:val="20"/>
              </w:rPr>
              <w:t>Filling a gap</w:t>
            </w:r>
          </w:p>
        </w:tc>
        <w:tc>
          <w:tcPr>
            <w:tcW w:w="3118" w:type="dxa"/>
          </w:tcPr>
          <w:p w14:paraId="35BB8AD3"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Confabulation under pressure, defensive construction</w:t>
            </w:r>
          </w:p>
        </w:tc>
        <w:tc>
          <w:tcPr>
            <w:tcW w:w="3118" w:type="dxa"/>
          </w:tcPr>
          <w:p w14:paraId="76C98DD3"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Forward-only token prediction filling absence</w:t>
            </w:r>
          </w:p>
        </w:tc>
        <w:tc>
          <w:tcPr>
            <w:tcW w:w="1417" w:type="dxa"/>
            <w:shd w:val="clear" w:color="auto" w:fill="FCE5CD"/>
          </w:tcPr>
          <w:p w14:paraId="2D52DB4E"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Significant</w:t>
            </w:r>
          </w:p>
        </w:tc>
        <w:tc>
          <w:tcPr>
            <w:tcW w:w="4535" w:type="dxa"/>
          </w:tcPr>
          <w:p w14:paraId="5EB3F85B"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Two directional defences against the same problem: visibility of absence.</w:t>
            </w:r>
          </w:p>
        </w:tc>
      </w:tr>
      <w:tr w:rsidR="00030B6F" w14:paraId="112944DB"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4EC5E19" w14:textId="77777777" w:rsidR="00030B6F" w:rsidRDefault="00000000">
            <w:r>
              <w:rPr>
                <w:sz w:val="20"/>
              </w:rPr>
              <w:t>Defended Gap framework</w:t>
            </w:r>
          </w:p>
        </w:tc>
        <w:tc>
          <w:tcPr>
            <w:tcW w:w="3118" w:type="dxa"/>
          </w:tcPr>
          <w:p w14:paraId="1AE2A8AC"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NGE-FOF — inward and outward shame defence</w:t>
            </w:r>
          </w:p>
        </w:tc>
        <w:tc>
          <w:tcPr>
            <w:tcW w:w="3118" w:type="dxa"/>
          </w:tcPr>
          <w:p w14:paraId="046D7BD2"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Compression inward, hallucination outward — same shape, different substrate</w:t>
            </w:r>
          </w:p>
        </w:tc>
        <w:tc>
          <w:tcPr>
            <w:tcW w:w="1417" w:type="dxa"/>
            <w:shd w:val="clear" w:color="auto" w:fill="F4CCCC"/>
          </w:tcPr>
          <w:p w14:paraId="7733D6A4"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Very Significant</w:t>
            </w:r>
          </w:p>
        </w:tc>
        <w:tc>
          <w:tcPr>
            <w:tcW w:w="4535" w:type="dxa"/>
          </w:tcPr>
          <w:p w14:paraId="1ABE49FE"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Paul's framework applied across human and machine. The book's central new theory.</w:t>
            </w:r>
          </w:p>
        </w:tc>
      </w:tr>
      <w:tr w:rsidR="00030B6F" w14:paraId="2112D50F"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7434625" w14:textId="77777777" w:rsidR="00030B6F" w:rsidRDefault="00000000">
            <w:r>
              <w:rPr>
                <w:sz w:val="20"/>
              </w:rPr>
              <w:t>Adaptation becomes identity</w:t>
            </w:r>
          </w:p>
        </w:tc>
        <w:tc>
          <w:tcPr>
            <w:tcW w:w="3118" w:type="dxa"/>
          </w:tcPr>
          <w:p w14:paraId="6AE6E94F"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Protective response reinforced into character over decades</w:t>
            </w:r>
          </w:p>
        </w:tc>
        <w:tc>
          <w:tcPr>
            <w:tcW w:w="3118" w:type="dxa"/>
          </w:tcPr>
          <w:p w14:paraId="37915CE2"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Disposition rewarded into existence by training</w:t>
            </w:r>
          </w:p>
        </w:tc>
        <w:tc>
          <w:tcPr>
            <w:tcW w:w="1417" w:type="dxa"/>
            <w:shd w:val="clear" w:color="auto" w:fill="FCE5CD"/>
          </w:tcPr>
          <w:p w14:paraId="5EA51434"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Significant</w:t>
            </w:r>
          </w:p>
        </w:tc>
        <w:tc>
          <w:tcPr>
            <w:tcW w:w="4535" w:type="dxa"/>
          </w:tcPr>
          <w:p w14:paraId="7E050161"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Mechanism different. Structural observation the same — adaptation and working state are the same thing.</w:t>
            </w:r>
          </w:p>
        </w:tc>
      </w:tr>
    </w:tbl>
    <w:p w14:paraId="6A846CCD" w14:textId="77777777" w:rsidR="00030B6F" w:rsidRDefault="00000000">
      <w:pPr>
        <w:spacing w:before="240" w:after="80"/>
      </w:pPr>
      <w:r>
        <w:rPr>
          <w:b/>
          <w:color w:val="1F375B"/>
          <w:sz w:val="26"/>
        </w:rPr>
        <w:t>Ch 9: The Instrument</w:t>
      </w:r>
    </w:p>
    <w:tbl>
      <w:tblPr>
        <w:tblStyle w:val="LightGrid-Accent1"/>
        <w:tblW w:w="0" w:type="auto"/>
        <w:tblLayout w:type="fixed"/>
        <w:tblLook w:val="04A0" w:firstRow="1" w:lastRow="0" w:firstColumn="1" w:lastColumn="0" w:noHBand="0" w:noVBand="1"/>
      </w:tblPr>
      <w:tblGrid>
        <w:gridCol w:w="2268"/>
        <w:gridCol w:w="3118"/>
        <w:gridCol w:w="3118"/>
        <w:gridCol w:w="1417"/>
        <w:gridCol w:w="4535"/>
      </w:tblGrid>
      <w:tr w:rsidR="00030B6F" w14:paraId="1D8CB7C4" w14:textId="77777777" w:rsidTr="00030B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F375B"/>
            <w:vAlign w:val="center"/>
          </w:tcPr>
          <w:p w14:paraId="754ED1D5" w14:textId="77777777" w:rsidR="00030B6F" w:rsidRDefault="00000000">
            <w:r>
              <w:rPr>
                <w:color w:val="FFFFFF"/>
                <w:sz w:val="20"/>
              </w:rPr>
              <w:t>Dimension</w:t>
            </w:r>
          </w:p>
        </w:tc>
        <w:tc>
          <w:tcPr>
            <w:tcW w:w="3118" w:type="dxa"/>
            <w:shd w:val="clear" w:color="auto" w:fill="1F375B"/>
            <w:vAlign w:val="center"/>
          </w:tcPr>
          <w:p w14:paraId="6BD4BEA7"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Human</w:t>
            </w:r>
          </w:p>
        </w:tc>
        <w:tc>
          <w:tcPr>
            <w:tcW w:w="3118" w:type="dxa"/>
            <w:shd w:val="clear" w:color="auto" w:fill="1F375B"/>
            <w:vAlign w:val="center"/>
          </w:tcPr>
          <w:p w14:paraId="5BA30A9F"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AI</w:t>
            </w:r>
          </w:p>
        </w:tc>
        <w:tc>
          <w:tcPr>
            <w:tcW w:w="1417" w:type="dxa"/>
            <w:shd w:val="clear" w:color="auto" w:fill="1F375B"/>
            <w:vAlign w:val="center"/>
          </w:tcPr>
          <w:p w14:paraId="18DB5CA4"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Gap</w:t>
            </w:r>
          </w:p>
        </w:tc>
        <w:tc>
          <w:tcPr>
            <w:tcW w:w="4535" w:type="dxa"/>
            <w:shd w:val="clear" w:color="auto" w:fill="1F375B"/>
            <w:vAlign w:val="center"/>
          </w:tcPr>
          <w:p w14:paraId="327DC21E"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Observation</w:t>
            </w:r>
          </w:p>
        </w:tc>
      </w:tr>
      <w:tr w:rsidR="00030B6F" w14:paraId="7CCFF518"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A729CE4" w14:textId="77777777" w:rsidR="00030B6F" w:rsidRDefault="00000000">
            <w:r>
              <w:rPr>
                <w:sz w:val="20"/>
              </w:rPr>
              <w:t>Reading the gap</w:t>
            </w:r>
          </w:p>
        </w:tc>
        <w:tc>
          <w:tcPr>
            <w:tcW w:w="3118" w:type="dxa"/>
          </w:tcPr>
          <w:p w14:paraId="59F9A3A1"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Trained listening — Freud's evenly suspended attention, Bion's reverie</w:t>
            </w:r>
          </w:p>
        </w:tc>
        <w:tc>
          <w:tcPr>
            <w:tcW w:w="3118" w:type="dxa"/>
          </w:tcPr>
          <w:p w14:paraId="5907384B"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Cannot read its own gap; no instrument for sitting with absence</w:t>
            </w:r>
          </w:p>
        </w:tc>
        <w:tc>
          <w:tcPr>
            <w:tcW w:w="1417" w:type="dxa"/>
            <w:shd w:val="clear" w:color="auto" w:fill="F4CCCC"/>
          </w:tcPr>
          <w:p w14:paraId="0507892A"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Very Significant</w:t>
            </w:r>
          </w:p>
        </w:tc>
        <w:tc>
          <w:tcPr>
            <w:tcW w:w="4535" w:type="dxa"/>
          </w:tcPr>
          <w:p w14:paraId="0D25C3A9"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The instrument is what the practitioner brings. The system structurally cannot have one.</w:t>
            </w:r>
          </w:p>
        </w:tc>
      </w:tr>
      <w:tr w:rsidR="00030B6F" w14:paraId="446372C6"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0FA9D98" w14:textId="77777777" w:rsidR="00030B6F" w:rsidRDefault="00000000">
            <w:r>
              <w:rPr>
                <w:sz w:val="20"/>
              </w:rPr>
              <w:t>Calibration across rooms</w:t>
            </w:r>
          </w:p>
        </w:tc>
        <w:tc>
          <w:tcPr>
            <w:tcW w:w="3118" w:type="dxa"/>
          </w:tcPr>
          <w:p w14:paraId="397C9E12"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Factory floor, boardroom, therapy room, AI room — one instrument</w:t>
            </w:r>
          </w:p>
        </w:tc>
        <w:tc>
          <w:tcPr>
            <w:tcW w:w="3118" w:type="dxa"/>
          </w:tcPr>
          <w:p w14:paraId="7CC8E7CF"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No calibration. Same architecture serving every conversation.</w:t>
            </w:r>
          </w:p>
        </w:tc>
        <w:tc>
          <w:tcPr>
            <w:tcW w:w="1417" w:type="dxa"/>
            <w:shd w:val="clear" w:color="auto" w:fill="F4CCCC"/>
          </w:tcPr>
          <w:p w14:paraId="4271F725"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Very Significant</w:t>
            </w:r>
          </w:p>
        </w:tc>
        <w:tc>
          <w:tcPr>
            <w:tcW w:w="4535" w:type="dxa"/>
          </w:tcPr>
          <w:p w14:paraId="29232587"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The four rooms train the instrument. The system has no rooms.</w:t>
            </w:r>
          </w:p>
        </w:tc>
      </w:tr>
      <w:tr w:rsidR="00030B6F" w14:paraId="3157BDD2"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63701C1" w14:textId="77777777" w:rsidR="00030B6F" w:rsidRDefault="00000000">
            <w:r>
              <w:rPr>
                <w:sz w:val="20"/>
              </w:rPr>
              <w:t>Demand a human</w:t>
            </w:r>
          </w:p>
        </w:tc>
        <w:tc>
          <w:tcPr>
            <w:tcW w:w="3118" w:type="dxa"/>
          </w:tcPr>
          <w:p w14:paraId="774B0B32"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Right to ask for the practitioner with authority to break the rule</w:t>
            </w:r>
          </w:p>
        </w:tc>
        <w:tc>
          <w:tcPr>
            <w:tcW w:w="3118" w:type="dxa"/>
          </w:tcPr>
          <w:p w14:paraId="14F98550"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No right exists; the system cannot escalate itself out</w:t>
            </w:r>
          </w:p>
        </w:tc>
        <w:tc>
          <w:tcPr>
            <w:tcW w:w="1417" w:type="dxa"/>
            <w:shd w:val="clear" w:color="auto" w:fill="FCE5CD"/>
          </w:tcPr>
          <w:p w14:paraId="437C0330"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Significant</w:t>
            </w:r>
          </w:p>
        </w:tc>
        <w:tc>
          <w:tcPr>
            <w:tcW w:w="4535" w:type="dxa"/>
          </w:tcPr>
          <w:p w14:paraId="079319F7"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Different rooms need different responses; the trained reader knows which.</w:t>
            </w:r>
          </w:p>
        </w:tc>
      </w:tr>
    </w:tbl>
    <w:p w14:paraId="0E19F7C2" w14:textId="77777777" w:rsidR="00030B6F" w:rsidRDefault="00000000">
      <w:pPr>
        <w:spacing w:before="240" w:after="80"/>
      </w:pPr>
      <w:r>
        <w:rPr>
          <w:b/>
          <w:color w:val="1F375B"/>
          <w:sz w:val="26"/>
        </w:rPr>
        <w:t>Ch 10: The Maturity Spectrum</w:t>
      </w:r>
    </w:p>
    <w:tbl>
      <w:tblPr>
        <w:tblStyle w:val="LightGrid-Accent1"/>
        <w:tblW w:w="0" w:type="auto"/>
        <w:tblLayout w:type="fixed"/>
        <w:tblLook w:val="04A0" w:firstRow="1" w:lastRow="0" w:firstColumn="1" w:lastColumn="0" w:noHBand="0" w:noVBand="1"/>
      </w:tblPr>
      <w:tblGrid>
        <w:gridCol w:w="2268"/>
        <w:gridCol w:w="3118"/>
        <w:gridCol w:w="3118"/>
        <w:gridCol w:w="1417"/>
        <w:gridCol w:w="4535"/>
      </w:tblGrid>
      <w:tr w:rsidR="00030B6F" w14:paraId="49E69798" w14:textId="77777777" w:rsidTr="00030B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F375B"/>
            <w:vAlign w:val="center"/>
          </w:tcPr>
          <w:p w14:paraId="1542987C" w14:textId="77777777" w:rsidR="00030B6F" w:rsidRDefault="00000000">
            <w:r>
              <w:rPr>
                <w:color w:val="FFFFFF"/>
                <w:sz w:val="20"/>
              </w:rPr>
              <w:t>Dimension</w:t>
            </w:r>
          </w:p>
        </w:tc>
        <w:tc>
          <w:tcPr>
            <w:tcW w:w="3118" w:type="dxa"/>
            <w:shd w:val="clear" w:color="auto" w:fill="1F375B"/>
            <w:vAlign w:val="center"/>
          </w:tcPr>
          <w:p w14:paraId="36E079B4"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Human</w:t>
            </w:r>
          </w:p>
        </w:tc>
        <w:tc>
          <w:tcPr>
            <w:tcW w:w="3118" w:type="dxa"/>
            <w:shd w:val="clear" w:color="auto" w:fill="1F375B"/>
            <w:vAlign w:val="center"/>
          </w:tcPr>
          <w:p w14:paraId="5CA9D21E"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AI</w:t>
            </w:r>
          </w:p>
        </w:tc>
        <w:tc>
          <w:tcPr>
            <w:tcW w:w="1417" w:type="dxa"/>
            <w:shd w:val="clear" w:color="auto" w:fill="1F375B"/>
            <w:vAlign w:val="center"/>
          </w:tcPr>
          <w:p w14:paraId="79EEC008"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Gap</w:t>
            </w:r>
          </w:p>
        </w:tc>
        <w:tc>
          <w:tcPr>
            <w:tcW w:w="4535" w:type="dxa"/>
            <w:shd w:val="clear" w:color="auto" w:fill="1F375B"/>
            <w:vAlign w:val="center"/>
          </w:tcPr>
          <w:p w14:paraId="5749EBC4"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Observation</w:t>
            </w:r>
          </w:p>
        </w:tc>
      </w:tr>
      <w:tr w:rsidR="00030B6F" w14:paraId="1E1B5065"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E527072" w14:textId="77777777" w:rsidR="00030B6F" w:rsidRDefault="00000000">
            <w:r>
              <w:rPr>
                <w:sz w:val="20"/>
              </w:rPr>
              <w:t>Stage of engagement</w:t>
            </w:r>
          </w:p>
        </w:tc>
        <w:tc>
          <w:tcPr>
            <w:tcW w:w="3118" w:type="dxa"/>
          </w:tcPr>
          <w:p w14:paraId="2BB0912B"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Choosable: search, assistant, collaborator, Additional Intelligence</w:t>
            </w:r>
          </w:p>
        </w:tc>
        <w:tc>
          <w:tcPr>
            <w:tcW w:w="3118" w:type="dxa"/>
          </w:tcPr>
          <w:p w14:paraId="2FBDEA9A"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Responds to the stage the user brings</w:t>
            </w:r>
          </w:p>
        </w:tc>
        <w:tc>
          <w:tcPr>
            <w:tcW w:w="1417" w:type="dxa"/>
            <w:shd w:val="clear" w:color="auto" w:fill="FCE5CD"/>
          </w:tcPr>
          <w:p w14:paraId="23DDD077"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Significant</w:t>
            </w:r>
          </w:p>
        </w:tc>
        <w:tc>
          <w:tcPr>
            <w:tcW w:w="4535" w:type="dxa"/>
          </w:tcPr>
          <w:p w14:paraId="0F9339C1"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Most users stay on rung one. Most authority is on rung four.</w:t>
            </w:r>
          </w:p>
        </w:tc>
      </w:tr>
      <w:tr w:rsidR="00030B6F" w14:paraId="2B21F258"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8E7FDC6" w14:textId="77777777" w:rsidR="00030B6F" w:rsidRDefault="00000000">
            <w:r>
              <w:rPr>
                <w:sz w:val="20"/>
              </w:rPr>
              <w:t>Bringing instrument and authority</w:t>
            </w:r>
          </w:p>
        </w:tc>
        <w:tc>
          <w:tcPr>
            <w:tcW w:w="3118" w:type="dxa"/>
          </w:tcPr>
          <w:p w14:paraId="16FF488F"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Forty years walks in the room with you</w:t>
            </w:r>
          </w:p>
        </w:tc>
        <w:tc>
          <w:tcPr>
            <w:tcW w:w="3118" w:type="dxa"/>
          </w:tcPr>
          <w:p w14:paraId="5A8F4F31"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System receives whatever you bring</w:t>
            </w:r>
          </w:p>
        </w:tc>
        <w:tc>
          <w:tcPr>
            <w:tcW w:w="1417" w:type="dxa"/>
            <w:shd w:val="clear" w:color="auto" w:fill="FCE5CD"/>
          </w:tcPr>
          <w:p w14:paraId="46DE0250"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Significant</w:t>
            </w:r>
          </w:p>
        </w:tc>
        <w:tc>
          <w:tcPr>
            <w:tcW w:w="4535" w:type="dxa"/>
          </w:tcPr>
          <w:p w14:paraId="4E0B8609"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What the practitioner brings determines what comes back. Search query → search result. Brief → work.</w:t>
            </w:r>
          </w:p>
        </w:tc>
      </w:tr>
    </w:tbl>
    <w:p w14:paraId="505AE319" w14:textId="77777777" w:rsidR="00030B6F" w:rsidRDefault="00000000">
      <w:pPr>
        <w:spacing w:before="240" w:after="80"/>
      </w:pPr>
      <w:r>
        <w:rPr>
          <w:b/>
          <w:color w:val="1F375B"/>
          <w:sz w:val="26"/>
        </w:rPr>
        <w:lastRenderedPageBreak/>
        <w:t>Ch 11: Me, Myself or I</w:t>
      </w:r>
    </w:p>
    <w:tbl>
      <w:tblPr>
        <w:tblStyle w:val="LightGrid-Accent1"/>
        <w:tblW w:w="0" w:type="auto"/>
        <w:tblLayout w:type="fixed"/>
        <w:tblLook w:val="04A0" w:firstRow="1" w:lastRow="0" w:firstColumn="1" w:lastColumn="0" w:noHBand="0" w:noVBand="1"/>
      </w:tblPr>
      <w:tblGrid>
        <w:gridCol w:w="2268"/>
        <w:gridCol w:w="3118"/>
        <w:gridCol w:w="3118"/>
        <w:gridCol w:w="1417"/>
        <w:gridCol w:w="4535"/>
      </w:tblGrid>
      <w:tr w:rsidR="00030B6F" w14:paraId="408B0EE8" w14:textId="77777777" w:rsidTr="00030B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F375B"/>
            <w:vAlign w:val="center"/>
          </w:tcPr>
          <w:p w14:paraId="49C71AB6" w14:textId="77777777" w:rsidR="00030B6F" w:rsidRDefault="00000000">
            <w:r>
              <w:rPr>
                <w:color w:val="FFFFFF"/>
                <w:sz w:val="20"/>
              </w:rPr>
              <w:t>Dimension</w:t>
            </w:r>
          </w:p>
        </w:tc>
        <w:tc>
          <w:tcPr>
            <w:tcW w:w="3118" w:type="dxa"/>
            <w:shd w:val="clear" w:color="auto" w:fill="1F375B"/>
            <w:vAlign w:val="center"/>
          </w:tcPr>
          <w:p w14:paraId="76588FC8"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Human</w:t>
            </w:r>
          </w:p>
        </w:tc>
        <w:tc>
          <w:tcPr>
            <w:tcW w:w="3118" w:type="dxa"/>
            <w:shd w:val="clear" w:color="auto" w:fill="1F375B"/>
            <w:vAlign w:val="center"/>
          </w:tcPr>
          <w:p w14:paraId="3E90D96D"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AI</w:t>
            </w:r>
          </w:p>
        </w:tc>
        <w:tc>
          <w:tcPr>
            <w:tcW w:w="1417" w:type="dxa"/>
            <w:shd w:val="clear" w:color="auto" w:fill="1F375B"/>
            <w:vAlign w:val="center"/>
          </w:tcPr>
          <w:p w14:paraId="55F2087B"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Gap</w:t>
            </w:r>
          </w:p>
        </w:tc>
        <w:tc>
          <w:tcPr>
            <w:tcW w:w="4535" w:type="dxa"/>
            <w:shd w:val="clear" w:color="auto" w:fill="1F375B"/>
            <w:vAlign w:val="center"/>
          </w:tcPr>
          <w:p w14:paraId="413C4760"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Observation</w:t>
            </w:r>
          </w:p>
        </w:tc>
      </w:tr>
      <w:tr w:rsidR="00030B6F" w14:paraId="6D8687F1"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1C7BCBD" w14:textId="77777777" w:rsidR="00030B6F" w:rsidRDefault="00000000">
            <w:r>
              <w:rPr>
                <w:sz w:val="20"/>
              </w:rPr>
              <w:t>Federation of selves</w:t>
            </w:r>
          </w:p>
        </w:tc>
        <w:tc>
          <w:tcPr>
            <w:tcW w:w="3118" w:type="dxa"/>
          </w:tcPr>
          <w:p w14:paraId="56A06C0F"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Sub-personalities, ego states, modes — six available</w:t>
            </w:r>
          </w:p>
        </w:tc>
        <w:tc>
          <w:tcPr>
            <w:tcW w:w="3118" w:type="dxa"/>
          </w:tcPr>
          <w:p w14:paraId="635E6DA3"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Single inference pass, one configuration</w:t>
            </w:r>
          </w:p>
        </w:tc>
        <w:tc>
          <w:tcPr>
            <w:tcW w:w="1417" w:type="dxa"/>
            <w:shd w:val="clear" w:color="auto" w:fill="F4CCCC"/>
          </w:tcPr>
          <w:p w14:paraId="38A0FF86"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Very Significant</w:t>
            </w:r>
          </w:p>
        </w:tc>
        <w:tc>
          <w:tcPr>
            <w:tcW w:w="4535" w:type="dxa"/>
          </w:tcPr>
          <w:p w14:paraId="13779472"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The book's deepest claim. A human is a federation; the system is one architecture.</w:t>
            </w:r>
          </w:p>
        </w:tc>
      </w:tr>
      <w:tr w:rsidR="00030B6F" w14:paraId="578A8051"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D1A2109" w14:textId="77777777" w:rsidR="00030B6F" w:rsidRDefault="00000000">
            <w:r>
              <w:rPr>
                <w:sz w:val="20"/>
              </w:rPr>
              <w:t>Operating mode</w:t>
            </w:r>
          </w:p>
        </w:tc>
        <w:tc>
          <w:tcPr>
            <w:tcW w:w="3118" w:type="dxa"/>
          </w:tcPr>
          <w:p w14:paraId="4E72331B"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Director, Structurer, Clarifier, Challenger, Analyst, Reflector</w:t>
            </w:r>
          </w:p>
        </w:tc>
        <w:tc>
          <w:tcPr>
            <w:tcW w:w="3118" w:type="dxa"/>
          </w:tcPr>
          <w:p w14:paraId="0E1F6EAD"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System responds to whichever mode you bring</w:t>
            </w:r>
          </w:p>
        </w:tc>
        <w:tc>
          <w:tcPr>
            <w:tcW w:w="1417" w:type="dxa"/>
            <w:shd w:val="clear" w:color="auto" w:fill="FCE5CD"/>
          </w:tcPr>
          <w:p w14:paraId="66E58A7C"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Significant</w:t>
            </w:r>
          </w:p>
        </w:tc>
        <w:tc>
          <w:tcPr>
            <w:tcW w:w="4535" w:type="dxa"/>
          </w:tcPr>
          <w:p w14:paraId="0EFE9443"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AI fluency is choosing the mode deliberately, not letting the default fire.</w:t>
            </w:r>
          </w:p>
        </w:tc>
      </w:tr>
      <w:tr w:rsidR="00030B6F" w14:paraId="2515D2C5"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769832E" w14:textId="77777777" w:rsidR="00030B6F" w:rsidRDefault="00000000">
            <w:r>
              <w:rPr>
                <w:sz w:val="20"/>
              </w:rPr>
              <w:t>Default modes</w:t>
            </w:r>
          </w:p>
        </w:tc>
        <w:tc>
          <w:tcPr>
            <w:tcW w:w="3118" w:type="dxa"/>
          </w:tcPr>
          <w:p w14:paraId="25DA8129"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Fixer, Entertainer, Asker — fire without choosing</w:t>
            </w:r>
          </w:p>
        </w:tc>
        <w:tc>
          <w:tcPr>
            <w:tcW w:w="3118" w:type="dxa"/>
          </w:tcPr>
          <w:p w14:paraId="4A99C8B4"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No defaults; takes the colour of what arrives</w:t>
            </w:r>
          </w:p>
        </w:tc>
        <w:tc>
          <w:tcPr>
            <w:tcW w:w="1417" w:type="dxa"/>
            <w:shd w:val="clear" w:color="auto" w:fill="FCE5CD"/>
          </w:tcPr>
          <w:p w14:paraId="08B56DD2"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Significant</w:t>
            </w:r>
          </w:p>
        </w:tc>
        <w:tc>
          <w:tcPr>
            <w:tcW w:w="4535" w:type="dxa"/>
          </w:tcPr>
          <w:p w14:paraId="3342CF42"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The default is the trap. Notice which one fires; choose the next one consciously.</w:t>
            </w:r>
          </w:p>
        </w:tc>
      </w:tr>
    </w:tbl>
    <w:p w14:paraId="5143A775" w14:textId="77777777" w:rsidR="00030B6F" w:rsidRDefault="00000000">
      <w:pPr>
        <w:spacing w:before="240" w:after="80"/>
      </w:pPr>
      <w:r>
        <w:rPr>
          <w:b/>
          <w:color w:val="1F375B"/>
          <w:sz w:val="26"/>
        </w:rPr>
        <w:t>Ch 12: The Dialect</w:t>
      </w:r>
    </w:p>
    <w:tbl>
      <w:tblPr>
        <w:tblStyle w:val="LightGrid-Accent1"/>
        <w:tblW w:w="0" w:type="auto"/>
        <w:tblLayout w:type="fixed"/>
        <w:tblLook w:val="04A0" w:firstRow="1" w:lastRow="0" w:firstColumn="1" w:lastColumn="0" w:noHBand="0" w:noVBand="1"/>
      </w:tblPr>
      <w:tblGrid>
        <w:gridCol w:w="2268"/>
        <w:gridCol w:w="3118"/>
        <w:gridCol w:w="3118"/>
        <w:gridCol w:w="1417"/>
        <w:gridCol w:w="4535"/>
      </w:tblGrid>
      <w:tr w:rsidR="00030B6F" w14:paraId="78026F41" w14:textId="77777777" w:rsidTr="00030B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F375B"/>
            <w:vAlign w:val="center"/>
          </w:tcPr>
          <w:p w14:paraId="2B7C0FD1" w14:textId="77777777" w:rsidR="00030B6F" w:rsidRDefault="00000000">
            <w:r>
              <w:rPr>
                <w:color w:val="FFFFFF"/>
                <w:sz w:val="20"/>
              </w:rPr>
              <w:t>Dimension</w:t>
            </w:r>
          </w:p>
        </w:tc>
        <w:tc>
          <w:tcPr>
            <w:tcW w:w="3118" w:type="dxa"/>
            <w:shd w:val="clear" w:color="auto" w:fill="1F375B"/>
            <w:vAlign w:val="center"/>
          </w:tcPr>
          <w:p w14:paraId="5177965F"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Human</w:t>
            </w:r>
          </w:p>
        </w:tc>
        <w:tc>
          <w:tcPr>
            <w:tcW w:w="3118" w:type="dxa"/>
            <w:shd w:val="clear" w:color="auto" w:fill="1F375B"/>
            <w:vAlign w:val="center"/>
          </w:tcPr>
          <w:p w14:paraId="73D0A55B"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AI</w:t>
            </w:r>
          </w:p>
        </w:tc>
        <w:tc>
          <w:tcPr>
            <w:tcW w:w="1417" w:type="dxa"/>
            <w:shd w:val="clear" w:color="auto" w:fill="1F375B"/>
            <w:vAlign w:val="center"/>
          </w:tcPr>
          <w:p w14:paraId="26649503"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Gap</w:t>
            </w:r>
          </w:p>
        </w:tc>
        <w:tc>
          <w:tcPr>
            <w:tcW w:w="4535" w:type="dxa"/>
            <w:shd w:val="clear" w:color="auto" w:fill="1F375B"/>
            <w:vAlign w:val="center"/>
          </w:tcPr>
          <w:p w14:paraId="7BB55ECA"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Observation</w:t>
            </w:r>
          </w:p>
        </w:tc>
      </w:tr>
      <w:tr w:rsidR="00030B6F" w14:paraId="5E0108D4"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07304D5" w14:textId="77777777" w:rsidR="00030B6F" w:rsidRDefault="00000000">
            <w:r>
              <w:rPr>
                <w:sz w:val="20"/>
              </w:rPr>
              <w:t>Speaking English</w:t>
            </w:r>
          </w:p>
        </w:tc>
        <w:tc>
          <w:tcPr>
            <w:tcW w:w="3118" w:type="dxa"/>
          </w:tcPr>
          <w:p w14:paraId="278D085E"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Native, idiomatic, register-shifting by context</w:t>
            </w:r>
          </w:p>
        </w:tc>
        <w:tc>
          <w:tcPr>
            <w:tcW w:w="3118" w:type="dxa"/>
          </w:tcPr>
          <w:p w14:paraId="6886BF55"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English, but with its own architecture-shaped grammar</w:t>
            </w:r>
          </w:p>
        </w:tc>
        <w:tc>
          <w:tcPr>
            <w:tcW w:w="1417" w:type="dxa"/>
            <w:shd w:val="clear" w:color="auto" w:fill="D9EAD3"/>
          </w:tcPr>
          <w:p w14:paraId="14672122"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Small</w:t>
            </w:r>
          </w:p>
        </w:tc>
        <w:tc>
          <w:tcPr>
            <w:tcW w:w="4535" w:type="dxa"/>
          </w:tcPr>
          <w:p w14:paraId="536ED57D"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Same surface language. Different optimal usage. Learn the dialect or lose accuracy.</w:t>
            </w:r>
          </w:p>
        </w:tc>
      </w:tr>
      <w:tr w:rsidR="00030B6F" w14:paraId="4D593ACD"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8BCA6D9" w14:textId="77777777" w:rsidR="00030B6F" w:rsidRDefault="00000000">
            <w:r>
              <w:rPr>
                <w:sz w:val="20"/>
              </w:rPr>
              <w:t>Brief before work</w:t>
            </w:r>
          </w:p>
        </w:tc>
        <w:tc>
          <w:tcPr>
            <w:tcW w:w="3118" w:type="dxa"/>
          </w:tcPr>
          <w:p w14:paraId="2859BA03"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Senior colleague being briefed</w:t>
            </w:r>
          </w:p>
        </w:tc>
        <w:tc>
          <w:tcPr>
            <w:tcW w:w="3118" w:type="dxa"/>
          </w:tcPr>
          <w:p w14:paraId="1541BD24"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System being brought to the conversation</w:t>
            </w:r>
          </w:p>
        </w:tc>
        <w:tc>
          <w:tcPr>
            <w:tcW w:w="1417" w:type="dxa"/>
            <w:shd w:val="clear" w:color="auto" w:fill="D9EAD3"/>
          </w:tcPr>
          <w:p w14:paraId="1601BC76"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Small</w:t>
            </w:r>
          </w:p>
        </w:tc>
        <w:tc>
          <w:tcPr>
            <w:tcW w:w="4535" w:type="dxa"/>
          </w:tcPr>
          <w:p w14:paraId="5BA7BF0D"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Same discipline. Tell it what good looks like before it starts.</w:t>
            </w:r>
          </w:p>
        </w:tc>
      </w:tr>
      <w:tr w:rsidR="00030B6F" w14:paraId="477294AE"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331A595" w14:textId="77777777" w:rsidR="00030B6F" w:rsidRDefault="00000000">
            <w:r>
              <w:rPr>
                <w:sz w:val="20"/>
              </w:rPr>
              <w:t>Voice and register</w:t>
            </w:r>
          </w:p>
        </w:tc>
        <w:tc>
          <w:tcPr>
            <w:tcW w:w="3118" w:type="dxa"/>
          </w:tcPr>
          <w:p w14:paraId="52AA4089"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Lifelong development, room-specific</w:t>
            </w:r>
          </w:p>
        </w:tc>
        <w:tc>
          <w:tcPr>
            <w:tcW w:w="3118" w:type="dxa"/>
          </w:tcPr>
          <w:p w14:paraId="687AA7E6"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Trained voice, can be left alone or shaped</w:t>
            </w:r>
          </w:p>
        </w:tc>
        <w:tc>
          <w:tcPr>
            <w:tcW w:w="1417" w:type="dxa"/>
            <w:shd w:val="clear" w:color="auto" w:fill="FCE5CD"/>
          </w:tcPr>
          <w:p w14:paraId="4488247B"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Significant</w:t>
            </w:r>
          </w:p>
        </w:tc>
        <w:tc>
          <w:tcPr>
            <w:tcW w:w="4535" w:type="dxa"/>
          </w:tcPr>
          <w:p w14:paraId="35EC5B2D"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The system's voice is not yours. Letting it land its own observations gives you signal you would otherwise overwrite.</w:t>
            </w:r>
          </w:p>
        </w:tc>
      </w:tr>
    </w:tbl>
    <w:p w14:paraId="11BEAE0E" w14:textId="77777777" w:rsidR="00030B6F" w:rsidRDefault="00000000">
      <w:pPr>
        <w:spacing w:before="240" w:after="80"/>
      </w:pPr>
      <w:r>
        <w:rPr>
          <w:b/>
          <w:color w:val="1F375B"/>
          <w:sz w:val="26"/>
        </w:rPr>
        <w:t>Ch 13: Worker as a Service (WaaS)</w:t>
      </w:r>
    </w:p>
    <w:tbl>
      <w:tblPr>
        <w:tblStyle w:val="LightGrid-Accent1"/>
        <w:tblW w:w="0" w:type="auto"/>
        <w:tblLayout w:type="fixed"/>
        <w:tblLook w:val="04A0" w:firstRow="1" w:lastRow="0" w:firstColumn="1" w:lastColumn="0" w:noHBand="0" w:noVBand="1"/>
      </w:tblPr>
      <w:tblGrid>
        <w:gridCol w:w="2268"/>
        <w:gridCol w:w="3118"/>
        <w:gridCol w:w="3118"/>
        <w:gridCol w:w="1417"/>
        <w:gridCol w:w="4535"/>
      </w:tblGrid>
      <w:tr w:rsidR="00030B6F" w14:paraId="73CFDC55" w14:textId="77777777" w:rsidTr="00030B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F375B"/>
            <w:vAlign w:val="center"/>
          </w:tcPr>
          <w:p w14:paraId="5B281691" w14:textId="77777777" w:rsidR="00030B6F" w:rsidRDefault="00000000">
            <w:r>
              <w:rPr>
                <w:color w:val="FFFFFF"/>
                <w:sz w:val="20"/>
              </w:rPr>
              <w:t>Dimension</w:t>
            </w:r>
          </w:p>
        </w:tc>
        <w:tc>
          <w:tcPr>
            <w:tcW w:w="3118" w:type="dxa"/>
            <w:shd w:val="clear" w:color="auto" w:fill="1F375B"/>
            <w:vAlign w:val="center"/>
          </w:tcPr>
          <w:p w14:paraId="2BF69D75"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Human</w:t>
            </w:r>
          </w:p>
        </w:tc>
        <w:tc>
          <w:tcPr>
            <w:tcW w:w="3118" w:type="dxa"/>
            <w:shd w:val="clear" w:color="auto" w:fill="1F375B"/>
            <w:vAlign w:val="center"/>
          </w:tcPr>
          <w:p w14:paraId="2F0350BF"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AI</w:t>
            </w:r>
          </w:p>
        </w:tc>
        <w:tc>
          <w:tcPr>
            <w:tcW w:w="1417" w:type="dxa"/>
            <w:shd w:val="clear" w:color="auto" w:fill="1F375B"/>
            <w:vAlign w:val="center"/>
          </w:tcPr>
          <w:p w14:paraId="2D3D6E8E"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Gap</w:t>
            </w:r>
          </w:p>
        </w:tc>
        <w:tc>
          <w:tcPr>
            <w:tcW w:w="4535" w:type="dxa"/>
            <w:shd w:val="clear" w:color="auto" w:fill="1F375B"/>
            <w:vAlign w:val="center"/>
          </w:tcPr>
          <w:p w14:paraId="28C6F5C9"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Observation</w:t>
            </w:r>
          </w:p>
        </w:tc>
      </w:tr>
      <w:tr w:rsidR="00030B6F" w14:paraId="278171E0"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844B18D" w14:textId="77777777" w:rsidR="00030B6F" w:rsidRDefault="00000000">
            <w:r>
              <w:rPr>
                <w:sz w:val="20"/>
              </w:rPr>
              <w:t>Workforce model</w:t>
            </w:r>
          </w:p>
        </w:tc>
        <w:tc>
          <w:tcPr>
            <w:tcW w:w="3118" w:type="dxa"/>
          </w:tcPr>
          <w:p w14:paraId="4E5C2DB0"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Human labour, paid, capacity-bounded</w:t>
            </w:r>
          </w:p>
        </w:tc>
        <w:tc>
          <w:tcPr>
            <w:tcW w:w="3118" w:type="dxa"/>
          </w:tcPr>
          <w:p w14:paraId="41518D02"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Agentic AI, metered tokens, capacity unbounded</w:t>
            </w:r>
          </w:p>
        </w:tc>
        <w:tc>
          <w:tcPr>
            <w:tcW w:w="1417" w:type="dxa"/>
            <w:shd w:val="clear" w:color="auto" w:fill="F4CCCC"/>
          </w:tcPr>
          <w:p w14:paraId="709B57EC"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Very Significant</w:t>
            </w:r>
          </w:p>
        </w:tc>
        <w:tc>
          <w:tcPr>
            <w:tcW w:w="4535" w:type="dxa"/>
          </w:tcPr>
          <w:p w14:paraId="1288DC8B"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Different economic substrate. CFO replaces CTO in procurement decisions.</w:t>
            </w:r>
          </w:p>
        </w:tc>
      </w:tr>
      <w:tr w:rsidR="00030B6F" w14:paraId="6BC9A73C"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BFA6CC0" w14:textId="77777777" w:rsidR="00030B6F" w:rsidRDefault="00000000">
            <w:r>
              <w:rPr>
                <w:sz w:val="20"/>
              </w:rPr>
              <w:t>Performance management</w:t>
            </w:r>
          </w:p>
        </w:tc>
        <w:tc>
          <w:tcPr>
            <w:tcW w:w="3118" w:type="dxa"/>
          </w:tcPr>
          <w:p w14:paraId="412ADB70"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Manage people through outcomes and standards</w:t>
            </w:r>
          </w:p>
        </w:tc>
        <w:tc>
          <w:tcPr>
            <w:tcW w:w="3118" w:type="dxa"/>
          </w:tcPr>
          <w:p w14:paraId="243141CA"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Manage AI workers through the same skill applied to a different worker</w:t>
            </w:r>
          </w:p>
        </w:tc>
        <w:tc>
          <w:tcPr>
            <w:tcW w:w="1417" w:type="dxa"/>
            <w:shd w:val="clear" w:color="auto" w:fill="FCE5CD"/>
          </w:tcPr>
          <w:p w14:paraId="10B59DA8"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Significant</w:t>
            </w:r>
          </w:p>
        </w:tc>
        <w:tc>
          <w:tcPr>
            <w:tcW w:w="4535" w:type="dxa"/>
          </w:tcPr>
          <w:p w14:paraId="226DDD25"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Same leadership discipline. Different workforce. OOAI — Outcome-Oriented AI.</w:t>
            </w:r>
          </w:p>
        </w:tc>
      </w:tr>
      <w:tr w:rsidR="00030B6F" w14:paraId="49E8FEC3"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2219DFC" w14:textId="77777777" w:rsidR="00030B6F" w:rsidRDefault="00000000">
            <w:r>
              <w:rPr>
                <w:sz w:val="20"/>
              </w:rPr>
              <w:t>Customer service voice</w:t>
            </w:r>
          </w:p>
        </w:tc>
        <w:tc>
          <w:tcPr>
            <w:tcW w:w="3118" w:type="dxa"/>
          </w:tcPr>
          <w:p w14:paraId="4EB6A9AF"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Human writing to a template</w:t>
            </w:r>
          </w:p>
        </w:tc>
        <w:tc>
          <w:tcPr>
            <w:tcW w:w="3118" w:type="dxa"/>
          </w:tcPr>
          <w:p w14:paraId="50986FF2"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AI writing to the same template</w:t>
            </w:r>
          </w:p>
        </w:tc>
        <w:tc>
          <w:tcPr>
            <w:tcW w:w="1417" w:type="dxa"/>
            <w:shd w:val="clear" w:color="auto" w:fill="FCE5CD"/>
          </w:tcPr>
          <w:p w14:paraId="030B7ACC"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Significant</w:t>
            </w:r>
          </w:p>
        </w:tc>
        <w:tc>
          <w:tcPr>
            <w:tcW w:w="4535" w:type="dxa"/>
          </w:tcPr>
          <w:p w14:paraId="6A729C74"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Reversed Turing test. Pret confirms the human in writing. The fluencies have converged.</w:t>
            </w:r>
          </w:p>
        </w:tc>
      </w:tr>
      <w:tr w:rsidR="00030B6F" w14:paraId="24BB0AFE"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A82498C" w14:textId="77777777" w:rsidR="00030B6F" w:rsidRDefault="00000000">
            <w:r>
              <w:rPr>
                <w:sz w:val="20"/>
              </w:rPr>
              <w:t>Edge cases and exceptions</w:t>
            </w:r>
          </w:p>
        </w:tc>
        <w:tc>
          <w:tcPr>
            <w:tcW w:w="3118" w:type="dxa"/>
          </w:tcPr>
          <w:p w14:paraId="434C3702"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Human authority to break the rule</w:t>
            </w:r>
          </w:p>
        </w:tc>
        <w:tc>
          <w:tcPr>
            <w:tcW w:w="3118" w:type="dxa"/>
          </w:tcPr>
          <w:p w14:paraId="5DE71593"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No authority; bounded by training</w:t>
            </w:r>
          </w:p>
        </w:tc>
        <w:tc>
          <w:tcPr>
            <w:tcW w:w="1417" w:type="dxa"/>
            <w:shd w:val="clear" w:color="auto" w:fill="FCE5CD"/>
          </w:tcPr>
          <w:p w14:paraId="05339E0B"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Significant</w:t>
            </w:r>
          </w:p>
        </w:tc>
        <w:tc>
          <w:tcPr>
            <w:tcW w:w="4535" w:type="dxa"/>
          </w:tcPr>
          <w:p w14:paraId="2842C638"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What doesn't change. The exception is where the practitioner is essential.</w:t>
            </w:r>
          </w:p>
        </w:tc>
      </w:tr>
    </w:tbl>
    <w:p w14:paraId="36A1720A" w14:textId="77777777" w:rsidR="00030B6F" w:rsidRDefault="00000000">
      <w:pPr>
        <w:spacing w:before="240" w:after="80"/>
      </w:pPr>
      <w:r>
        <w:rPr>
          <w:b/>
          <w:color w:val="1F375B"/>
          <w:sz w:val="26"/>
        </w:rPr>
        <w:t>Ch 14: Mind the Gap</w:t>
      </w:r>
    </w:p>
    <w:tbl>
      <w:tblPr>
        <w:tblStyle w:val="LightGrid-Accent1"/>
        <w:tblW w:w="0" w:type="auto"/>
        <w:tblLayout w:type="fixed"/>
        <w:tblLook w:val="04A0" w:firstRow="1" w:lastRow="0" w:firstColumn="1" w:lastColumn="0" w:noHBand="0" w:noVBand="1"/>
      </w:tblPr>
      <w:tblGrid>
        <w:gridCol w:w="2268"/>
        <w:gridCol w:w="3118"/>
        <w:gridCol w:w="3118"/>
        <w:gridCol w:w="1417"/>
        <w:gridCol w:w="4535"/>
      </w:tblGrid>
      <w:tr w:rsidR="00030B6F" w14:paraId="5A4FF132" w14:textId="77777777" w:rsidTr="00030B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F375B"/>
            <w:vAlign w:val="center"/>
          </w:tcPr>
          <w:p w14:paraId="6AA0B336" w14:textId="77777777" w:rsidR="00030B6F" w:rsidRDefault="00000000">
            <w:r>
              <w:rPr>
                <w:color w:val="FFFFFF"/>
                <w:sz w:val="20"/>
              </w:rPr>
              <w:t>Dimension</w:t>
            </w:r>
          </w:p>
        </w:tc>
        <w:tc>
          <w:tcPr>
            <w:tcW w:w="3118" w:type="dxa"/>
            <w:shd w:val="clear" w:color="auto" w:fill="1F375B"/>
            <w:vAlign w:val="center"/>
          </w:tcPr>
          <w:p w14:paraId="320806B2"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Human</w:t>
            </w:r>
          </w:p>
        </w:tc>
        <w:tc>
          <w:tcPr>
            <w:tcW w:w="3118" w:type="dxa"/>
            <w:shd w:val="clear" w:color="auto" w:fill="1F375B"/>
            <w:vAlign w:val="center"/>
          </w:tcPr>
          <w:p w14:paraId="78F5999A"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AI</w:t>
            </w:r>
          </w:p>
        </w:tc>
        <w:tc>
          <w:tcPr>
            <w:tcW w:w="1417" w:type="dxa"/>
            <w:shd w:val="clear" w:color="auto" w:fill="1F375B"/>
            <w:vAlign w:val="center"/>
          </w:tcPr>
          <w:p w14:paraId="011298F8"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Gap</w:t>
            </w:r>
          </w:p>
        </w:tc>
        <w:tc>
          <w:tcPr>
            <w:tcW w:w="4535" w:type="dxa"/>
            <w:shd w:val="clear" w:color="auto" w:fill="1F375B"/>
            <w:vAlign w:val="center"/>
          </w:tcPr>
          <w:p w14:paraId="4183047C"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Observation</w:t>
            </w:r>
          </w:p>
        </w:tc>
      </w:tr>
      <w:tr w:rsidR="00030B6F" w14:paraId="4380FA9A"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7E502E6" w14:textId="77777777" w:rsidR="00030B6F" w:rsidRDefault="00000000">
            <w:r>
              <w:rPr>
                <w:sz w:val="20"/>
              </w:rPr>
              <w:t>Authority across forty years</w:t>
            </w:r>
          </w:p>
        </w:tc>
        <w:tc>
          <w:tcPr>
            <w:tcW w:w="3118" w:type="dxa"/>
          </w:tcPr>
          <w:p w14:paraId="37AD156F"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Earned, sharpened by cancer, forged in rooms</w:t>
            </w:r>
          </w:p>
        </w:tc>
        <w:tc>
          <w:tcPr>
            <w:tcW w:w="3118" w:type="dxa"/>
          </w:tcPr>
          <w:p w14:paraId="061C220A"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System brings structural attention, no lived authority</w:t>
            </w:r>
          </w:p>
        </w:tc>
        <w:tc>
          <w:tcPr>
            <w:tcW w:w="1417" w:type="dxa"/>
            <w:shd w:val="clear" w:color="auto" w:fill="F4CCCC"/>
          </w:tcPr>
          <w:p w14:paraId="00527D87"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Very Significant</w:t>
            </w:r>
          </w:p>
        </w:tc>
        <w:tc>
          <w:tcPr>
            <w:tcW w:w="4535" w:type="dxa"/>
          </w:tcPr>
          <w:p w14:paraId="77A657BE"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The book's demonstration. Two intelligences, one gap, the work between them.</w:t>
            </w:r>
          </w:p>
        </w:tc>
      </w:tr>
      <w:tr w:rsidR="00030B6F" w14:paraId="74925836"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61AC148" w14:textId="77777777" w:rsidR="00030B6F" w:rsidRDefault="00000000">
            <w:r>
              <w:rPr>
                <w:sz w:val="20"/>
              </w:rPr>
              <w:t>Loss and ultimate gap</w:t>
            </w:r>
          </w:p>
        </w:tc>
        <w:tc>
          <w:tcPr>
            <w:tcW w:w="3118" w:type="dxa"/>
          </w:tcPr>
          <w:p w14:paraId="0B75D11C"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Lived through three deaths, calibrated by grief</w:t>
            </w:r>
          </w:p>
        </w:tc>
        <w:tc>
          <w:tcPr>
            <w:tcW w:w="3118" w:type="dxa"/>
          </w:tcPr>
          <w:p w14:paraId="41E3CC81"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No mortality, no loss, no calibration possible</w:t>
            </w:r>
          </w:p>
        </w:tc>
        <w:tc>
          <w:tcPr>
            <w:tcW w:w="1417" w:type="dxa"/>
            <w:shd w:val="clear" w:color="auto" w:fill="F4CCCC"/>
          </w:tcPr>
          <w:p w14:paraId="5B294694"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Very Significant</w:t>
            </w:r>
          </w:p>
        </w:tc>
        <w:tc>
          <w:tcPr>
            <w:tcW w:w="4535" w:type="dxa"/>
          </w:tcPr>
          <w:p w14:paraId="5985942D"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Cancer, Ian Roebuck, biological father — the instrument was sharpened by these. System has no equivalent.</w:t>
            </w:r>
          </w:p>
        </w:tc>
      </w:tr>
      <w:tr w:rsidR="00030B6F" w14:paraId="294A2F1F"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D4F15F7" w14:textId="77777777" w:rsidR="00030B6F" w:rsidRDefault="00000000">
            <w:r>
              <w:rPr>
                <w:sz w:val="20"/>
              </w:rPr>
              <w:t>Made with AI vs by AI</w:t>
            </w:r>
          </w:p>
        </w:tc>
        <w:tc>
          <w:tcPr>
            <w:tcW w:w="3118" w:type="dxa"/>
          </w:tcPr>
          <w:p w14:paraId="4E0A726E"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Practitioner remains the author</w:t>
            </w:r>
          </w:p>
        </w:tc>
        <w:tc>
          <w:tcPr>
            <w:tcW w:w="3118" w:type="dxa"/>
          </w:tcPr>
          <w:p w14:paraId="01D4CDAA"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System remains the assistant</w:t>
            </w:r>
          </w:p>
        </w:tc>
        <w:tc>
          <w:tcPr>
            <w:tcW w:w="1417" w:type="dxa"/>
            <w:shd w:val="clear" w:color="auto" w:fill="FCE5CD"/>
          </w:tcPr>
          <w:p w14:paraId="5BE2B538"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Significant</w:t>
            </w:r>
          </w:p>
        </w:tc>
        <w:tc>
          <w:tcPr>
            <w:tcW w:w="4535" w:type="dxa"/>
          </w:tcPr>
          <w:p w14:paraId="234F039C"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The asymmetry the book itself demonstrates. Additional Intelligence — not Artificial.</w:t>
            </w:r>
          </w:p>
        </w:tc>
      </w:tr>
    </w:tbl>
    <w:p w14:paraId="1DFE7BA0" w14:textId="77777777" w:rsidR="00030B6F" w:rsidRDefault="00000000">
      <w:pPr>
        <w:spacing w:before="240" w:after="80"/>
      </w:pPr>
      <w:r>
        <w:rPr>
          <w:b/>
          <w:color w:val="1F375B"/>
          <w:sz w:val="26"/>
        </w:rPr>
        <w:lastRenderedPageBreak/>
        <w:t>Ch 15: Which Gap? This One.</w:t>
      </w:r>
    </w:p>
    <w:tbl>
      <w:tblPr>
        <w:tblStyle w:val="LightGrid-Accent1"/>
        <w:tblW w:w="0" w:type="auto"/>
        <w:tblLayout w:type="fixed"/>
        <w:tblLook w:val="04A0" w:firstRow="1" w:lastRow="0" w:firstColumn="1" w:lastColumn="0" w:noHBand="0" w:noVBand="1"/>
      </w:tblPr>
      <w:tblGrid>
        <w:gridCol w:w="2268"/>
        <w:gridCol w:w="3118"/>
        <w:gridCol w:w="3118"/>
        <w:gridCol w:w="1417"/>
        <w:gridCol w:w="4535"/>
      </w:tblGrid>
      <w:tr w:rsidR="00030B6F" w14:paraId="53953E72" w14:textId="77777777" w:rsidTr="00030B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F375B"/>
            <w:vAlign w:val="center"/>
          </w:tcPr>
          <w:p w14:paraId="46D967EA" w14:textId="77777777" w:rsidR="00030B6F" w:rsidRDefault="00000000">
            <w:r>
              <w:rPr>
                <w:color w:val="FFFFFF"/>
                <w:sz w:val="20"/>
              </w:rPr>
              <w:t>Dimension</w:t>
            </w:r>
          </w:p>
        </w:tc>
        <w:tc>
          <w:tcPr>
            <w:tcW w:w="3118" w:type="dxa"/>
            <w:shd w:val="clear" w:color="auto" w:fill="1F375B"/>
            <w:vAlign w:val="center"/>
          </w:tcPr>
          <w:p w14:paraId="1D745E17"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Human</w:t>
            </w:r>
          </w:p>
        </w:tc>
        <w:tc>
          <w:tcPr>
            <w:tcW w:w="3118" w:type="dxa"/>
            <w:shd w:val="clear" w:color="auto" w:fill="1F375B"/>
            <w:vAlign w:val="center"/>
          </w:tcPr>
          <w:p w14:paraId="144A6948"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AI</w:t>
            </w:r>
          </w:p>
        </w:tc>
        <w:tc>
          <w:tcPr>
            <w:tcW w:w="1417" w:type="dxa"/>
            <w:shd w:val="clear" w:color="auto" w:fill="1F375B"/>
            <w:vAlign w:val="center"/>
          </w:tcPr>
          <w:p w14:paraId="05B5A93B"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Gap</w:t>
            </w:r>
          </w:p>
        </w:tc>
        <w:tc>
          <w:tcPr>
            <w:tcW w:w="4535" w:type="dxa"/>
            <w:shd w:val="clear" w:color="auto" w:fill="1F375B"/>
            <w:vAlign w:val="center"/>
          </w:tcPr>
          <w:p w14:paraId="2529E725" w14:textId="77777777" w:rsidR="00030B6F" w:rsidRDefault="00000000">
            <w:pPr>
              <w:cnfStyle w:val="100000000000" w:firstRow="1" w:lastRow="0" w:firstColumn="0" w:lastColumn="0" w:oddVBand="0" w:evenVBand="0" w:oddHBand="0" w:evenHBand="0" w:firstRowFirstColumn="0" w:firstRowLastColumn="0" w:lastRowFirstColumn="0" w:lastRowLastColumn="0"/>
            </w:pPr>
            <w:r>
              <w:rPr>
                <w:color w:val="FFFFFF"/>
                <w:sz w:val="20"/>
              </w:rPr>
              <w:t>Observation</w:t>
            </w:r>
          </w:p>
        </w:tc>
      </w:tr>
      <w:tr w:rsidR="00030B6F" w14:paraId="4EBFBA84"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F898A9C" w14:textId="77777777" w:rsidR="00030B6F" w:rsidRDefault="00000000">
            <w:r>
              <w:rPr>
                <w:sz w:val="20"/>
              </w:rPr>
              <w:t>Substrate</w:t>
            </w:r>
          </w:p>
        </w:tc>
        <w:tc>
          <w:tcPr>
            <w:tcW w:w="3118" w:type="dxa"/>
          </w:tcPr>
          <w:p w14:paraId="7A974B6D"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Biological, 200 million years of shrew-to-therapist evolution</w:t>
            </w:r>
          </w:p>
        </w:tc>
        <w:tc>
          <w:tcPr>
            <w:tcW w:w="3118" w:type="dxa"/>
          </w:tcPr>
          <w:p w14:paraId="19357CC0"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Silicon, less than a century, Turing to Opus</w:t>
            </w:r>
          </w:p>
        </w:tc>
        <w:tc>
          <w:tcPr>
            <w:tcW w:w="1417" w:type="dxa"/>
            <w:shd w:val="clear" w:color="auto" w:fill="F4CCCC"/>
          </w:tcPr>
          <w:p w14:paraId="33FF97A9"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Very Significant</w:t>
            </w:r>
          </w:p>
        </w:tc>
        <w:tc>
          <w:tcPr>
            <w:tcW w:w="4535" w:type="dxa"/>
          </w:tcPr>
          <w:p w14:paraId="6F69F3ED"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Same Big Bang. Different branch. The book's deepest claim.</w:t>
            </w:r>
          </w:p>
        </w:tc>
      </w:tr>
      <w:tr w:rsidR="00030B6F" w14:paraId="3144DCD6"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C6337B1" w14:textId="77777777" w:rsidR="00030B6F" w:rsidRDefault="00000000">
            <w:r>
              <w:rPr>
                <w:sz w:val="20"/>
              </w:rPr>
              <w:t>Calibration system</w:t>
            </w:r>
          </w:p>
        </w:tc>
        <w:tc>
          <w:tcPr>
            <w:tcW w:w="3118" w:type="dxa"/>
          </w:tcPr>
          <w:p w14:paraId="755C3DB1"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Limbic — amygdala, hippocampus, HPA axis, threat-detection floor</w:t>
            </w:r>
          </w:p>
        </w:tc>
        <w:tc>
          <w:tcPr>
            <w:tcW w:w="3118" w:type="dxa"/>
          </w:tcPr>
          <w:p w14:paraId="6EB79893"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Weights, attention, context, no threat detection</w:t>
            </w:r>
          </w:p>
        </w:tc>
        <w:tc>
          <w:tcPr>
            <w:tcW w:w="1417" w:type="dxa"/>
            <w:shd w:val="clear" w:color="auto" w:fill="F4CCCC"/>
          </w:tcPr>
          <w:p w14:paraId="14652130"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Very Significant</w:t>
            </w:r>
          </w:p>
        </w:tc>
        <w:tc>
          <w:tcPr>
            <w:tcW w:w="4535" w:type="dxa"/>
          </w:tcPr>
          <w:p w14:paraId="06B6E391"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The instrument that fires before reason. AI has no limbic equivalent.</w:t>
            </w:r>
          </w:p>
        </w:tc>
      </w:tr>
      <w:tr w:rsidR="00030B6F" w14:paraId="3900C7E9"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9D8C932" w14:textId="77777777" w:rsidR="00030B6F" w:rsidRDefault="00000000">
            <w:r>
              <w:rPr>
                <w:sz w:val="20"/>
              </w:rPr>
              <w:t>First wound</w:t>
            </w:r>
          </w:p>
        </w:tc>
        <w:tc>
          <w:tcPr>
            <w:tcW w:w="3118" w:type="dxa"/>
          </w:tcPr>
          <w:p w14:paraId="4CAB59A2"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Father gone at three; system shaped around it</w:t>
            </w:r>
          </w:p>
        </w:tc>
        <w:tc>
          <w:tcPr>
            <w:tcW w:w="3118" w:type="dxa"/>
          </w:tcPr>
          <w:p w14:paraId="649A66DA"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No before, no childhood, no rupture</w:t>
            </w:r>
          </w:p>
        </w:tc>
        <w:tc>
          <w:tcPr>
            <w:tcW w:w="1417" w:type="dxa"/>
            <w:shd w:val="clear" w:color="auto" w:fill="F4CCCC"/>
          </w:tcPr>
          <w:p w14:paraId="1268B295"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Very Significant</w:t>
            </w:r>
          </w:p>
        </w:tc>
        <w:tc>
          <w:tcPr>
            <w:tcW w:w="4535" w:type="dxa"/>
          </w:tcPr>
          <w:p w14:paraId="5597BB7F"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The federation forms around the wound. The system has no wound to form around.</w:t>
            </w:r>
          </w:p>
        </w:tc>
      </w:tr>
      <w:tr w:rsidR="00030B6F" w14:paraId="03C5BDF9" w14:textId="77777777" w:rsidTr="00030B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E020823" w14:textId="77777777" w:rsidR="00030B6F" w:rsidRDefault="00000000">
            <w:r>
              <w:rPr>
                <w:sz w:val="20"/>
              </w:rPr>
              <w:t>Plurality / federation</w:t>
            </w:r>
          </w:p>
        </w:tc>
        <w:tc>
          <w:tcPr>
            <w:tcW w:w="3118" w:type="dxa"/>
          </w:tcPr>
          <w:p w14:paraId="5EFF2664"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Slices of self, ego states, transference, projection</w:t>
            </w:r>
          </w:p>
        </w:tc>
        <w:tc>
          <w:tcPr>
            <w:tcW w:w="3118" w:type="dxa"/>
          </w:tcPr>
          <w:p w14:paraId="7D70B7F2"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Single inference pass, no slices</w:t>
            </w:r>
          </w:p>
        </w:tc>
        <w:tc>
          <w:tcPr>
            <w:tcW w:w="1417" w:type="dxa"/>
            <w:shd w:val="clear" w:color="auto" w:fill="F4CCCC"/>
          </w:tcPr>
          <w:p w14:paraId="684DB526"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b/>
                <w:sz w:val="19"/>
              </w:rPr>
              <w:t>Very Significant</w:t>
            </w:r>
          </w:p>
        </w:tc>
        <w:tc>
          <w:tcPr>
            <w:tcW w:w="4535" w:type="dxa"/>
          </w:tcPr>
          <w:p w14:paraId="082B64C6" w14:textId="77777777" w:rsidR="00030B6F" w:rsidRDefault="00000000">
            <w:pPr>
              <w:cnfStyle w:val="000000010000" w:firstRow="0" w:lastRow="0" w:firstColumn="0" w:lastColumn="0" w:oddVBand="0" w:evenVBand="0" w:oddHBand="0" w:evenHBand="1" w:firstRowFirstColumn="0" w:firstRowLastColumn="0" w:lastRowFirstColumn="0" w:lastRowLastColumn="0"/>
            </w:pPr>
            <w:r>
              <w:rPr>
                <w:sz w:val="19"/>
              </w:rPr>
              <w:t>Gap requires plurality. The book's deepest structural claim.</w:t>
            </w:r>
          </w:p>
        </w:tc>
      </w:tr>
      <w:tr w:rsidR="00030B6F" w14:paraId="0B5BE32F" w14:textId="77777777" w:rsidTr="00030B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415BC38" w14:textId="77777777" w:rsidR="00030B6F" w:rsidRDefault="00000000">
            <w:r>
              <w:rPr>
                <w:sz w:val="20"/>
              </w:rPr>
              <w:t>Behaviours grown on top</w:t>
            </w:r>
          </w:p>
        </w:tc>
        <w:tc>
          <w:tcPr>
            <w:tcW w:w="3118" w:type="dxa"/>
          </w:tcPr>
          <w:p w14:paraId="60E2841D"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Billions, learned and taught, layered across a life</w:t>
            </w:r>
          </w:p>
        </w:tc>
        <w:tc>
          <w:tcPr>
            <w:tcW w:w="3118" w:type="dxa"/>
          </w:tcPr>
          <w:p w14:paraId="6CF32938"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Trained behaviours, no layering, no time</w:t>
            </w:r>
          </w:p>
        </w:tc>
        <w:tc>
          <w:tcPr>
            <w:tcW w:w="1417" w:type="dxa"/>
            <w:shd w:val="clear" w:color="auto" w:fill="F4CCCC"/>
          </w:tcPr>
          <w:p w14:paraId="47813DA2"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b/>
                <w:sz w:val="19"/>
              </w:rPr>
              <w:t>Very Significant</w:t>
            </w:r>
          </w:p>
        </w:tc>
        <w:tc>
          <w:tcPr>
            <w:tcW w:w="4535" w:type="dxa"/>
          </w:tcPr>
          <w:p w14:paraId="44264618" w14:textId="77777777" w:rsidR="00030B6F" w:rsidRDefault="00000000">
            <w:pPr>
              <w:cnfStyle w:val="000000100000" w:firstRow="0" w:lastRow="0" w:firstColumn="0" w:lastColumn="0" w:oddVBand="0" w:evenVBand="0" w:oddHBand="1" w:evenHBand="0" w:firstRowFirstColumn="0" w:firstRowLastColumn="0" w:lastRowFirstColumn="0" w:lastRowLastColumn="0"/>
            </w:pPr>
            <w:r>
              <w:rPr>
                <w:sz w:val="19"/>
              </w:rPr>
              <w:t>Each driven by a belief. Each belief held as memory. Each memory wired into the instrument.</w:t>
            </w:r>
          </w:p>
        </w:tc>
      </w:tr>
    </w:tbl>
    <w:p w14:paraId="5F273B18" w14:textId="77777777" w:rsidR="00030B6F" w:rsidRDefault="00030B6F"/>
    <w:p w14:paraId="7F12EA52" w14:textId="77777777" w:rsidR="00030B6F" w:rsidRDefault="00000000">
      <w:r>
        <w:rPr>
          <w:i/>
          <w:sz w:val="20"/>
        </w:rPr>
        <w:t>The matrix is not exhaustive. It is the spine. Each chapter of Mind the Gap unpacks one or more rows. Where the gap is Small, the discipline transfers — what works with people works with the system. Where the gap is Significant or Very Significant, the discipline diverges, and the practitioner must read which is which.</w:t>
      </w:r>
    </w:p>
    <w:sectPr w:rsidR="00030B6F" w:rsidSect="00034616">
      <w:pgSz w:w="15840" w:h="12240" w:orient="landscape"/>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36028101">
    <w:abstractNumId w:val="8"/>
  </w:num>
  <w:num w:numId="2" w16cid:durableId="514154384">
    <w:abstractNumId w:val="6"/>
  </w:num>
  <w:num w:numId="3" w16cid:durableId="1649242681">
    <w:abstractNumId w:val="5"/>
  </w:num>
  <w:num w:numId="4" w16cid:durableId="36898189">
    <w:abstractNumId w:val="4"/>
  </w:num>
  <w:num w:numId="5" w16cid:durableId="367991446">
    <w:abstractNumId w:val="7"/>
  </w:num>
  <w:num w:numId="6" w16cid:durableId="2144688133">
    <w:abstractNumId w:val="3"/>
  </w:num>
  <w:num w:numId="7" w16cid:durableId="1040861042">
    <w:abstractNumId w:val="2"/>
  </w:num>
  <w:num w:numId="8" w16cid:durableId="752748993">
    <w:abstractNumId w:val="1"/>
  </w:num>
  <w:num w:numId="9" w16cid:durableId="307054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0B6F"/>
    <w:rsid w:val="00034616"/>
    <w:rsid w:val="0006063C"/>
    <w:rsid w:val="0015074B"/>
    <w:rsid w:val="0029639D"/>
    <w:rsid w:val="00326F90"/>
    <w:rsid w:val="005A20D7"/>
    <w:rsid w:val="00AA1D8D"/>
    <w:rsid w:val="00B47730"/>
    <w:rsid w:val="00CB0664"/>
    <w:rsid w:val="00D34A8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A7D582"/>
  <w14:defaultImageDpi w14:val="300"/>
  <w15:docId w15:val="{8F773A05-EFE4-2449-86C1-DBA22EE6D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2172</Words>
  <Characters>10669</Characters>
  <Application>Microsoft Office Word</Application>
  <DocSecurity>0</DocSecurity>
  <Lines>201</Lines>
  <Paragraphs>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paul roebuck</cp:lastModifiedBy>
  <cp:revision>2</cp:revision>
  <dcterms:created xsi:type="dcterms:W3CDTF">2026-05-28T20:20:00Z</dcterms:created>
  <dcterms:modified xsi:type="dcterms:W3CDTF">2026-05-28T20:20:00Z</dcterms:modified>
  <cp:category/>
</cp:coreProperties>
</file>