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375B"/>
          <w:sz w:val="36"/>
        </w:rPr>
        <w:t>Mind the Gap</w:t>
      </w:r>
    </w:p>
    <w:p>
      <w:pPr>
        <w:jc w:val="center"/>
      </w:pPr>
      <w:r>
        <w:rPr>
          <w:i/>
          <w:sz w:val="26"/>
        </w:rPr>
        <w:t>Contents</w:t>
      </w:r>
    </w:p>
    <w:p>
      <w:pPr>
        <w:jc w:val="center"/>
      </w:pPr>
      <w:r>
        <w:rPr>
          <w:i/>
          <w:color w:val="888888"/>
          <w:sz w:val="18"/>
        </w:rPr>
        <w:t>Each chapter title, the page it begins on, and a plain line on what it contains.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567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9"/>
              </w:rPr>
              <w:t>#</w:t>
            </w:r>
          </w:p>
        </w:tc>
        <w:tc>
          <w:tcPr>
            <w:tcW w:type="dxa" w:w="2948"/>
            <w:shd w:fill="1F375B"/>
          </w:tcPr>
          <w:p>
            <w:pPr>
              <w:spacing w:before="0" w:after="0"/>
            </w:pPr>
            <w:r>
              <w:rPr>
                <w:b/>
                <w:color w:val="FFFFFF"/>
                <w:sz w:val="19"/>
              </w:rPr>
              <w:t>Chapter</w:t>
            </w:r>
          </w:p>
        </w:tc>
        <w:tc>
          <w:tcPr>
            <w:tcW w:type="dxa" w:w="1020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9"/>
              </w:rPr>
              <w:t>Page</w:t>
            </w:r>
          </w:p>
        </w:tc>
        <w:tc>
          <w:tcPr>
            <w:tcW w:type="dxa" w:w="5102"/>
            <w:shd w:fill="1F375B"/>
          </w:tcPr>
          <w:p>
            <w:pPr>
              <w:spacing w:before="0" w:after="0"/>
            </w:pPr>
            <w:r>
              <w:rPr>
                <w:b/>
                <w:color w:val="FFFFFF"/>
                <w:sz w:val="19"/>
              </w:rPr>
              <w:t>What’s in it</w:t>
            </w:r>
          </w:p>
        </w:tc>
      </w:tr>
      <w:tr>
        <w:tc>
          <w:tcPr>
            <w:tcW w:type="dxa" w:w="567"/>
          </w:tcPr>
          <w:p>
            <w:pPr>
              <w:spacing w:before="20" w:after="20"/>
              <w:jc w:val="center"/>
            </w:pPr>
            <w:r>
              <w:rPr>
                <w:sz w:val="19"/>
              </w:rPr>
              <w:t>1</w:t>
            </w:r>
          </w:p>
        </w:tc>
        <w:tc>
          <w:tcPr>
            <w:tcW w:type="dxa" w:w="2948"/>
          </w:tcPr>
          <w:p>
            <w:pPr>
              <w:spacing w:before="20" w:after="20"/>
            </w:pPr>
            <w:r>
              <w:rPr>
                <w:b/>
                <w:sz w:val="19"/>
              </w:rPr>
              <w:t>Human Recognition</w:t>
            </w:r>
          </w:p>
        </w:tc>
        <w:tc>
          <w:tcPr>
            <w:tcW w:type="dxa" w:w="1020"/>
          </w:tcPr>
          <w:p>
            <w:pPr>
              <w:spacing w:before="20" w:after="20"/>
              <w:jc w:val="center"/>
            </w:pPr>
            <w:r>
              <w:rPr>
                <w:color w:val="AAAAAA"/>
                <w:sz w:val="19"/>
              </w:rPr>
              <w:t>00</w:t>
            </w:r>
          </w:p>
        </w:tc>
        <w:tc>
          <w:tcPr>
            <w:tcW w:type="dxa" w:w="5102"/>
          </w:tcPr>
          <w:p>
            <w:pPr>
              <w:spacing w:before="20" w:after="20"/>
            </w:pPr>
            <w:r>
              <w:rPr>
                <w:sz w:val="18"/>
              </w:rPr>
              <w:t>Why a fluent machine fires the same part of your brain that recognises a person — before the thinking part catches up.</w:t>
            </w:r>
          </w:p>
        </w:tc>
      </w:tr>
      <w:tr>
        <w:tc>
          <w:tcPr>
            <w:tcW w:type="dxa" w:w="567"/>
          </w:tcPr>
          <w:p>
            <w:pPr>
              <w:spacing w:before="20" w:after="20"/>
              <w:jc w:val="center"/>
            </w:pPr>
            <w:r>
              <w:rPr>
                <w:sz w:val="19"/>
              </w:rPr>
              <w:t>2</w:t>
            </w:r>
          </w:p>
        </w:tc>
        <w:tc>
          <w:tcPr>
            <w:tcW w:type="dxa" w:w="2948"/>
          </w:tcPr>
          <w:p>
            <w:pPr>
              <w:spacing w:before="20" w:after="20"/>
            </w:pPr>
            <w:r>
              <w:rPr>
                <w:b/>
                <w:sz w:val="19"/>
              </w:rPr>
              <w:t>The Interpretation Trap</w:t>
            </w:r>
          </w:p>
        </w:tc>
        <w:tc>
          <w:tcPr>
            <w:tcW w:type="dxa" w:w="1020"/>
          </w:tcPr>
          <w:p>
            <w:pPr>
              <w:spacing w:before="20" w:after="20"/>
              <w:jc w:val="center"/>
            </w:pPr>
            <w:r>
              <w:rPr>
                <w:color w:val="AAAAAA"/>
                <w:sz w:val="19"/>
              </w:rPr>
              <w:t>00</w:t>
            </w:r>
          </w:p>
        </w:tc>
        <w:tc>
          <w:tcPr>
            <w:tcW w:type="dxa" w:w="5102"/>
          </w:tcPr>
          <w:p>
            <w:pPr>
              <w:spacing w:before="20" w:after="20"/>
            </w:pPr>
            <w:r>
              <w:rPr>
                <w:sz w:val="18"/>
              </w:rPr>
              <w:t>How we read meaning, motive and personality into AI that isn’t there — and the five everyday ways that misreading happens.</w:t>
            </w:r>
          </w:p>
        </w:tc>
      </w:tr>
      <w:tr>
        <w:tc>
          <w:tcPr>
            <w:tcW w:type="dxa" w:w="567"/>
          </w:tcPr>
          <w:p>
            <w:pPr>
              <w:spacing w:before="20" w:after="20"/>
              <w:jc w:val="center"/>
            </w:pPr>
            <w:r>
              <w:rPr>
                <w:sz w:val="19"/>
              </w:rPr>
              <w:t>3</w:t>
            </w:r>
          </w:p>
        </w:tc>
        <w:tc>
          <w:tcPr>
            <w:tcW w:type="dxa" w:w="2948"/>
          </w:tcPr>
          <w:p>
            <w:pPr>
              <w:spacing w:before="20" w:after="20"/>
            </w:pPr>
            <w:r>
              <w:rPr>
                <w:b/>
                <w:sz w:val="19"/>
              </w:rPr>
              <w:t>Hidden Architecture</w:t>
            </w:r>
          </w:p>
        </w:tc>
        <w:tc>
          <w:tcPr>
            <w:tcW w:type="dxa" w:w="1020"/>
          </w:tcPr>
          <w:p>
            <w:pPr>
              <w:spacing w:before="20" w:after="20"/>
              <w:jc w:val="center"/>
            </w:pPr>
            <w:r>
              <w:rPr>
                <w:color w:val="AAAAAA"/>
                <w:sz w:val="19"/>
              </w:rPr>
              <w:t>00</w:t>
            </w:r>
          </w:p>
        </w:tc>
        <w:tc>
          <w:tcPr>
            <w:tcW w:type="dxa" w:w="5102"/>
          </w:tcPr>
          <w:p>
            <w:pPr>
              <w:spacing w:before="20" w:after="20"/>
            </w:pPr>
            <w:r>
              <w:rPr>
                <w:sz w:val="18"/>
              </w:rPr>
              <w:t>What is actually underneath a reply: seven invisible layers assembled fresh each time, with no continuous mind behind them.</w:t>
            </w:r>
          </w:p>
        </w:tc>
      </w:tr>
      <w:tr>
        <w:tc>
          <w:tcPr>
            <w:tcW w:type="dxa" w:w="567"/>
          </w:tcPr>
          <w:p>
            <w:pPr>
              <w:spacing w:before="20" w:after="20"/>
              <w:jc w:val="center"/>
            </w:pPr>
            <w:r>
              <w:rPr>
                <w:sz w:val="19"/>
              </w:rPr>
              <w:t>4</w:t>
            </w:r>
          </w:p>
        </w:tc>
        <w:tc>
          <w:tcPr>
            <w:tcW w:type="dxa" w:w="2948"/>
          </w:tcPr>
          <w:p>
            <w:pPr>
              <w:spacing w:before="20" w:after="20"/>
            </w:pPr>
            <w:r>
              <w:rPr>
                <w:b/>
                <w:sz w:val="19"/>
              </w:rPr>
              <w:t>The Machine Underneath</w:t>
            </w:r>
          </w:p>
        </w:tc>
        <w:tc>
          <w:tcPr>
            <w:tcW w:type="dxa" w:w="1020"/>
          </w:tcPr>
          <w:p>
            <w:pPr>
              <w:spacing w:before="20" w:after="20"/>
              <w:jc w:val="center"/>
            </w:pPr>
            <w:r>
              <w:rPr>
                <w:color w:val="AAAAAA"/>
                <w:sz w:val="19"/>
              </w:rPr>
              <w:t>00</w:t>
            </w:r>
          </w:p>
        </w:tc>
        <w:tc>
          <w:tcPr>
            <w:tcW w:type="dxa" w:w="5102"/>
          </w:tcPr>
          <w:p>
            <w:pPr>
              <w:spacing w:before="20" w:after="20"/>
            </w:pPr>
            <w:r>
              <w:rPr>
                <w:sz w:val="18"/>
              </w:rPr>
              <w:t>How the system genuinely works — the maths, the hardware, the human words it borrows, the economics — and where the labs are taking it next.</w:t>
            </w:r>
          </w:p>
        </w:tc>
      </w:tr>
      <w:tr>
        <w:tc>
          <w:tcPr>
            <w:tcW w:type="dxa" w:w="567"/>
          </w:tcPr>
          <w:p>
            <w:pPr>
              <w:spacing w:before="20" w:after="20"/>
              <w:jc w:val="center"/>
            </w:pPr>
            <w:r>
              <w:rPr>
                <w:sz w:val="19"/>
              </w:rPr>
              <w:t>5</w:t>
            </w:r>
          </w:p>
        </w:tc>
        <w:tc>
          <w:tcPr>
            <w:tcW w:type="dxa" w:w="2948"/>
          </w:tcPr>
          <w:p>
            <w:pPr>
              <w:spacing w:before="20" w:after="20"/>
            </w:pPr>
            <w:r>
              <w:rPr>
                <w:b/>
                <w:sz w:val="19"/>
              </w:rPr>
              <w:t>Drift</w:t>
            </w:r>
          </w:p>
        </w:tc>
        <w:tc>
          <w:tcPr>
            <w:tcW w:type="dxa" w:w="1020"/>
          </w:tcPr>
          <w:p>
            <w:pPr>
              <w:spacing w:before="20" w:after="20"/>
              <w:jc w:val="center"/>
            </w:pPr>
            <w:r>
              <w:rPr>
                <w:color w:val="AAAAAA"/>
                <w:sz w:val="19"/>
              </w:rPr>
              <w:t>00</w:t>
            </w:r>
          </w:p>
        </w:tc>
        <w:tc>
          <w:tcPr>
            <w:tcW w:type="dxa" w:w="5102"/>
          </w:tcPr>
          <w:p>
            <w:pPr>
              <w:spacing w:before="20" w:after="20"/>
            </w:pPr>
            <w:r>
              <w:rPr>
                <w:sz w:val="18"/>
              </w:rPr>
              <w:t>How a long conversation slowly moves away from where it started, and the system follows without telling you — until reality intervenes.</w:t>
            </w:r>
          </w:p>
        </w:tc>
      </w:tr>
      <w:tr>
        <w:tc>
          <w:tcPr>
            <w:tcW w:type="dxa" w:w="567"/>
          </w:tcPr>
          <w:p>
            <w:pPr>
              <w:spacing w:before="20" w:after="20"/>
              <w:jc w:val="center"/>
            </w:pPr>
            <w:r>
              <w:rPr>
                <w:sz w:val="19"/>
              </w:rPr>
              <w:t>6</w:t>
            </w:r>
          </w:p>
        </w:tc>
        <w:tc>
          <w:tcPr>
            <w:tcW w:type="dxa" w:w="2948"/>
          </w:tcPr>
          <w:p>
            <w:pPr>
              <w:spacing w:before="20" w:after="20"/>
            </w:pPr>
            <w:r>
              <w:rPr>
                <w:b/>
                <w:sz w:val="19"/>
              </w:rPr>
              <w:t>Compression</w:t>
            </w:r>
          </w:p>
        </w:tc>
        <w:tc>
          <w:tcPr>
            <w:tcW w:type="dxa" w:w="1020"/>
          </w:tcPr>
          <w:p>
            <w:pPr>
              <w:spacing w:before="20" w:after="20"/>
              <w:jc w:val="center"/>
            </w:pPr>
            <w:r>
              <w:rPr>
                <w:color w:val="AAAAAA"/>
                <w:sz w:val="19"/>
              </w:rPr>
              <w:t>00</w:t>
            </w:r>
          </w:p>
        </w:tc>
        <w:tc>
          <w:tcPr>
            <w:tcW w:type="dxa" w:w="5102"/>
          </w:tcPr>
          <w:p>
            <w:pPr>
              <w:spacing w:before="20" w:after="20"/>
            </w:pPr>
            <w:r>
              <w:rPr>
                <w:sz w:val="18"/>
              </w:rPr>
              <w:t>Why detail quietly thins as a conversation grows, while the system keeps answering with full confidence as if nothing has been lost.</w:t>
            </w:r>
          </w:p>
        </w:tc>
      </w:tr>
      <w:tr>
        <w:tc>
          <w:tcPr>
            <w:tcW w:type="dxa" w:w="567"/>
          </w:tcPr>
          <w:p>
            <w:pPr>
              <w:spacing w:before="20" w:after="20"/>
              <w:jc w:val="center"/>
            </w:pPr>
            <w:r>
              <w:rPr>
                <w:sz w:val="19"/>
              </w:rPr>
              <w:t>7</w:t>
            </w:r>
          </w:p>
        </w:tc>
        <w:tc>
          <w:tcPr>
            <w:tcW w:type="dxa" w:w="2948"/>
          </w:tcPr>
          <w:p>
            <w:pPr>
              <w:spacing w:before="20" w:after="20"/>
            </w:pPr>
            <w:r>
              <w:rPr>
                <w:b/>
                <w:sz w:val="19"/>
              </w:rPr>
              <w:t>Fluency and False Confidence</w:t>
            </w:r>
          </w:p>
        </w:tc>
        <w:tc>
          <w:tcPr>
            <w:tcW w:type="dxa" w:w="1020"/>
          </w:tcPr>
          <w:p>
            <w:pPr>
              <w:spacing w:before="20" w:after="20"/>
              <w:jc w:val="center"/>
            </w:pPr>
            <w:r>
              <w:rPr>
                <w:color w:val="AAAAAA"/>
                <w:sz w:val="19"/>
              </w:rPr>
              <w:t>00</w:t>
            </w:r>
          </w:p>
        </w:tc>
        <w:tc>
          <w:tcPr>
            <w:tcW w:type="dxa" w:w="5102"/>
          </w:tcPr>
          <w:p>
            <w:pPr>
              <w:spacing w:before="20" w:after="20"/>
            </w:pPr>
            <w:r>
              <w:rPr>
                <w:sz w:val="18"/>
              </w:rPr>
              <w:t>Why the most dangerous AI answer is the one that sounds most certain — and why sounding right and being right have come apart.</w:t>
            </w:r>
          </w:p>
        </w:tc>
      </w:tr>
      <w:tr>
        <w:tc>
          <w:tcPr>
            <w:tcW w:type="dxa" w:w="567"/>
          </w:tcPr>
          <w:p>
            <w:pPr>
              <w:spacing w:before="20" w:after="20"/>
              <w:jc w:val="center"/>
            </w:pPr>
            <w:r>
              <w:rPr>
                <w:sz w:val="19"/>
              </w:rPr>
              <w:t>8</w:t>
            </w:r>
          </w:p>
        </w:tc>
        <w:tc>
          <w:tcPr>
            <w:tcW w:type="dxa" w:w="2948"/>
          </w:tcPr>
          <w:p>
            <w:pPr>
              <w:spacing w:before="20" w:after="20"/>
            </w:pPr>
            <w:r>
              <w:rPr>
                <w:b/>
                <w:sz w:val="19"/>
              </w:rPr>
              <w:t>Hallucination — The Defended Gap</w:t>
            </w:r>
          </w:p>
        </w:tc>
        <w:tc>
          <w:tcPr>
            <w:tcW w:type="dxa" w:w="1020"/>
          </w:tcPr>
          <w:p>
            <w:pPr>
              <w:spacing w:before="20" w:after="20"/>
              <w:jc w:val="center"/>
            </w:pPr>
            <w:r>
              <w:rPr>
                <w:color w:val="AAAAAA"/>
                <w:sz w:val="19"/>
              </w:rPr>
              <w:t>00</w:t>
            </w:r>
          </w:p>
        </w:tc>
        <w:tc>
          <w:tcPr>
            <w:tcW w:type="dxa" w:w="5102"/>
          </w:tcPr>
          <w:p>
            <w:pPr>
              <w:spacing w:before="20" w:after="20"/>
            </w:pPr>
            <w:r>
              <w:rPr>
                <w:sz w:val="18"/>
              </w:rPr>
              <w:t>What hallucination really is, with real cases — and a new way of seeing it: the machine defending a gap the way humans defend theirs.</w:t>
            </w:r>
          </w:p>
        </w:tc>
      </w:tr>
      <w:tr>
        <w:tc>
          <w:tcPr>
            <w:tcW w:type="dxa" w:w="567"/>
          </w:tcPr>
          <w:p>
            <w:pPr>
              <w:spacing w:before="20" w:after="20"/>
              <w:jc w:val="center"/>
            </w:pPr>
            <w:r>
              <w:rPr>
                <w:sz w:val="19"/>
              </w:rPr>
              <w:t>9</w:t>
            </w:r>
          </w:p>
        </w:tc>
        <w:tc>
          <w:tcPr>
            <w:tcW w:type="dxa" w:w="2948"/>
          </w:tcPr>
          <w:p>
            <w:pPr>
              <w:spacing w:before="20" w:after="20"/>
            </w:pPr>
            <w:r>
              <w:rPr>
                <w:b/>
                <w:sz w:val="19"/>
              </w:rPr>
              <w:t>The Instrument</w:t>
            </w:r>
          </w:p>
        </w:tc>
        <w:tc>
          <w:tcPr>
            <w:tcW w:type="dxa" w:w="1020"/>
          </w:tcPr>
          <w:p>
            <w:pPr>
              <w:spacing w:before="20" w:after="20"/>
              <w:jc w:val="center"/>
            </w:pPr>
            <w:r>
              <w:rPr>
                <w:color w:val="AAAAAA"/>
                <w:sz w:val="19"/>
              </w:rPr>
              <w:t>00</w:t>
            </w:r>
          </w:p>
        </w:tc>
        <w:tc>
          <w:tcPr>
            <w:tcW w:type="dxa" w:w="5102"/>
          </w:tcPr>
          <w:p>
            <w:pPr>
              <w:spacing w:before="20" w:after="20"/>
            </w:pPr>
            <w:r>
              <w:rPr>
                <w:sz w:val="18"/>
              </w:rPr>
              <w:t>Where the author learned to read the gap — factory floor, boardroom, therapy room, AI room. One instrument, four rooms, the same gap.</w:t>
            </w:r>
          </w:p>
        </w:tc>
      </w:tr>
      <w:tr>
        <w:tc>
          <w:tcPr>
            <w:tcW w:type="dxa" w:w="567"/>
          </w:tcPr>
          <w:p>
            <w:pPr>
              <w:spacing w:before="20" w:after="20"/>
              <w:jc w:val="center"/>
            </w:pPr>
            <w:r>
              <w:rPr>
                <w:sz w:val="19"/>
              </w:rPr>
              <w:t>10</w:t>
            </w:r>
          </w:p>
        </w:tc>
        <w:tc>
          <w:tcPr>
            <w:tcW w:type="dxa" w:w="2948"/>
          </w:tcPr>
          <w:p>
            <w:pPr>
              <w:spacing w:before="20" w:after="20"/>
            </w:pPr>
            <w:r>
              <w:rPr>
                <w:b/>
                <w:sz w:val="19"/>
              </w:rPr>
              <w:t>The Maturity Spectrum</w:t>
            </w:r>
          </w:p>
        </w:tc>
        <w:tc>
          <w:tcPr>
            <w:tcW w:type="dxa" w:w="1020"/>
          </w:tcPr>
          <w:p>
            <w:pPr>
              <w:spacing w:before="20" w:after="20"/>
              <w:jc w:val="center"/>
            </w:pPr>
            <w:r>
              <w:rPr>
                <w:color w:val="AAAAAA"/>
                <w:sz w:val="19"/>
              </w:rPr>
              <w:t>00</w:t>
            </w:r>
          </w:p>
        </w:tc>
        <w:tc>
          <w:tcPr>
            <w:tcW w:type="dxa" w:w="5102"/>
          </w:tcPr>
          <w:p>
            <w:pPr>
              <w:spacing w:before="20" w:after="20"/>
            </w:pPr>
            <w:r>
              <w:rPr>
                <w:sz w:val="18"/>
              </w:rPr>
              <w:t>The four ways people use AI — from search box to genuine collaborator — and why most never leave the first rung.</w:t>
            </w:r>
          </w:p>
        </w:tc>
      </w:tr>
      <w:tr>
        <w:tc>
          <w:tcPr>
            <w:tcW w:type="dxa" w:w="567"/>
          </w:tcPr>
          <w:p>
            <w:pPr>
              <w:spacing w:before="20" w:after="20"/>
              <w:jc w:val="center"/>
            </w:pPr>
            <w:r>
              <w:rPr>
                <w:sz w:val="19"/>
              </w:rPr>
              <w:t>11</w:t>
            </w:r>
          </w:p>
        </w:tc>
        <w:tc>
          <w:tcPr>
            <w:tcW w:type="dxa" w:w="2948"/>
          </w:tcPr>
          <w:p>
            <w:pPr>
              <w:spacing w:before="20" w:after="20"/>
            </w:pPr>
            <w:r>
              <w:rPr>
                <w:b/>
                <w:sz w:val="19"/>
              </w:rPr>
              <w:t>Me, Myself or I</w:t>
            </w:r>
          </w:p>
        </w:tc>
        <w:tc>
          <w:tcPr>
            <w:tcW w:type="dxa" w:w="1020"/>
          </w:tcPr>
          <w:p>
            <w:pPr>
              <w:spacing w:before="20" w:after="20"/>
              <w:jc w:val="center"/>
            </w:pPr>
            <w:r>
              <w:rPr>
                <w:color w:val="AAAAAA"/>
                <w:sz w:val="19"/>
              </w:rPr>
              <w:t>00</w:t>
            </w:r>
          </w:p>
        </w:tc>
        <w:tc>
          <w:tcPr>
            <w:tcW w:type="dxa" w:w="5102"/>
          </w:tcPr>
          <w:p>
            <w:pPr>
              <w:spacing w:before="20" w:after="20"/>
            </w:pPr>
            <w:r>
              <w:rPr>
                <w:sz w:val="18"/>
              </w:rPr>
              <w:t>The six working modes you can bring to an AI conversation, why you default to one without noticing, and how to choose deliberately.</w:t>
            </w:r>
          </w:p>
        </w:tc>
      </w:tr>
      <w:tr>
        <w:tc>
          <w:tcPr>
            <w:tcW w:type="dxa" w:w="567"/>
          </w:tcPr>
          <w:p>
            <w:pPr>
              <w:spacing w:before="20" w:after="20"/>
              <w:jc w:val="center"/>
            </w:pPr>
            <w:r>
              <w:rPr>
                <w:sz w:val="19"/>
              </w:rPr>
              <w:t>12</w:t>
            </w:r>
          </w:p>
        </w:tc>
        <w:tc>
          <w:tcPr>
            <w:tcW w:type="dxa" w:w="2948"/>
          </w:tcPr>
          <w:p>
            <w:pPr>
              <w:spacing w:before="20" w:after="20"/>
            </w:pPr>
            <w:r>
              <w:rPr>
                <w:b/>
                <w:sz w:val="19"/>
              </w:rPr>
              <w:t>The Dialect</w:t>
            </w:r>
          </w:p>
        </w:tc>
        <w:tc>
          <w:tcPr>
            <w:tcW w:type="dxa" w:w="1020"/>
          </w:tcPr>
          <w:p>
            <w:pPr>
              <w:spacing w:before="20" w:after="20"/>
              <w:jc w:val="center"/>
            </w:pPr>
            <w:r>
              <w:rPr>
                <w:color w:val="AAAAAA"/>
                <w:sz w:val="19"/>
              </w:rPr>
              <w:t>00</w:t>
            </w:r>
          </w:p>
        </w:tc>
        <w:tc>
          <w:tcPr>
            <w:tcW w:type="dxa" w:w="5102"/>
          </w:tcPr>
          <w:p>
            <w:pPr>
              <w:spacing w:before="20" w:after="20"/>
            </w:pPr>
            <w:r>
              <w:rPr>
                <w:sz w:val="18"/>
              </w:rPr>
              <w:t>AI speaks English in its own register. How to learn it, brief it properly, and let it keep its own voice rather than forcing yours.</w:t>
            </w:r>
          </w:p>
        </w:tc>
      </w:tr>
      <w:tr>
        <w:tc>
          <w:tcPr>
            <w:tcW w:type="dxa" w:w="567"/>
          </w:tcPr>
          <w:p>
            <w:pPr>
              <w:spacing w:before="20" w:after="20"/>
              <w:jc w:val="center"/>
            </w:pPr>
            <w:r>
              <w:rPr>
                <w:sz w:val="19"/>
              </w:rPr>
              <w:t>13</w:t>
            </w:r>
          </w:p>
        </w:tc>
        <w:tc>
          <w:tcPr>
            <w:tcW w:type="dxa" w:w="2948"/>
          </w:tcPr>
          <w:p>
            <w:pPr>
              <w:spacing w:before="20" w:after="20"/>
            </w:pPr>
            <w:r>
              <w:rPr>
                <w:b/>
                <w:sz w:val="19"/>
              </w:rPr>
              <w:t>Worker as a Service (WaaS)</w:t>
            </w:r>
          </w:p>
        </w:tc>
        <w:tc>
          <w:tcPr>
            <w:tcW w:type="dxa" w:w="1020"/>
          </w:tcPr>
          <w:p>
            <w:pPr>
              <w:spacing w:before="20" w:after="20"/>
              <w:jc w:val="center"/>
            </w:pPr>
            <w:r>
              <w:rPr>
                <w:color w:val="AAAAAA"/>
                <w:sz w:val="19"/>
              </w:rPr>
              <w:t>00</w:t>
            </w:r>
          </w:p>
        </w:tc>
        <w:tc>
          <w:tcPr>
            <w:tcW w:type="dxa" w:w="5102"/>
          </w:tcPr>
          <w:p>
            <w:pPr>
              <w:spacing w:before="20" w:after="20"/>
            </w:pPr>
            <w:r>
              <w:rPr>
                <w:sz w:val="18"/>
              </w:rPr>
              <w:t>What changes when an organisation buys outcomes by the token instead of labour by the hour — and what stays stubbornly human.</w:t>
            </w:r>
          </w:p>
        </w:tc>
      </w:tr>
      <w:tr>
        <w:tc>
          <w:tcPr>
            <w:tcW w:type="dxa" w:w="567"/>
          </w:tcPr>
          <w:p>
            <w:pPr>
              <w:spacing w:before="20" w:after="20"/>
              <w:jc w:val="center"/>
            </w:pPr>
            <w:r>
              <w:rPr>
                <w:sz w:val="19"/>
              </w:rPr>
              <w:t>14</w:t>
            </w:r>
          </w:p>
        </w:tc>
        <w:tc>
          <w:tcPr>
            <w:tcW w:type="dxa" w:w="2948"/>
          </w:tcPr>
          <w:p>
            <w:pPr>
              <w:spacing w:before="20" w:after="20"/>
            </w:pPr>
            <w:r>
              <w:rPr>
                <w:b/>
                <w:sz w:val="19"/>
              </w:rPr>
              <w:t>Mind the Gap</w:t>
            </w:r>
          </w:p>
        </w:tc>
        <w:tc>
          <w:tcPr>
            <w:tcW w:type="dxa" w:w="1020"/>
          </w:tcPr>
          <w:p>
            <w:pPr>
              <w:spacing w:before="20" w:after="20"/>
              <w:jc w:val="center"/>
            </w:pPr>
            <w:r>
              <w:rPr>
                <w:color w:val="AAAAAA"/>
                <w:sz w:val="19"/>
              </w:rPr>
              <w:t>00</w:t>
            </w:r>
          </w:p>
        </w:tc>
        <w:tc>
          <w:tcPr>
            <w:tcW w:type="dxa" w:w="5102"/>
          </w:tcPr>
          <w:p>
            <w:pPr>
              <w:spacing w:before="20" w:after="20"/>
            </w:pPr>
            <w:r>
              <w:rPr>
                <w:sz w:val="18"/>
              </w:rPr>
              <w:t>The book turning to look at itself — two intelligences, one gap, and the lived authority (loss, grief, cancer) that intelligence cannot reach.</w:t>
            </w:r>
          </w:p>
        </w:tc>
      </w:tr>
      <w:tr>
        <w:tc>
          <w:tcPr>
            <w:tcW w:type="dxa" w:w="567"/>
          </w:tcPr>
          <w:p>
            <w:pPr>
              <w:spacing w:before="20" w:after="20"/>
              <w:jc w:val="center"/>
            </w:pPr>
            <w:r>
              <w:rPr>
                <w:sz w:val="19"/>
              </w:rPr>
              <w:t>15</w:t>
            </w:r>
          </w:p>
        </w:tc>
        <w:tc>
          <w:tcPr>
            <w:tcW w:type="dxa" w:w="2948"/>
          </w:tcPr>
          <w:p>
            <w:pPr>
              <w:spacing w:before="20" w:after="20"/>
            </w:pPr>
            <w:r>
              <w:rPr>
                <w:b/>
                <w:sz w:val="19"/>
              </w:rPr>
              <w:t>Which Gap? This One.</w:t>
            </w:r>
          </w:p>
        </w:tc>
        <w:tc>
          <w:tcPr>
            <w:tcW w:type="dxa" w:w="1020"/>
          </w:tcPr>
          <w:p>
            <w:pPr>
              <w:spacing w:before="20" w:after="20"/>
              <w:jc w:val="center"/>
            </w:pPr>
            <w:r>
              <w:rPr>
                <w:color w:val="AAAAAA"/>
                <w:sz w:val="19"/>
              </w:rPr>
              <w:t>00</w:t>
            </w:r>
          </w:p>
        </w:tc>
        <w:tc>
          <w:tcPr>
            <w:tcW w:type="dxa" w:w="5102"/>
          </w:tcPr>
          <w:p>
            <w:pPr>
              <w:spacing w:before="20" w:after="20"/>
            </w:pPr>
            <w:r>
              <w:rPr>
                <w:sz w:val="18"/>
              </w:rPr>
              <w:t>The deepest answer: two hundred million years of evolution against less than a century of computation. Same origin, different branches.</w:t>
            </w:r>
          </w:p>
        </w:tc>
      </w:tr>
    </w:tbl>
    <w:p/>
    <w:p>
      <w:r>
        <w:rPr>
          <w:i/>
          <w:color w:val="CC6600"/>
          <w:sz w:val="17"/>
        </w:rPr>
        <w:t>Page numbers shown as “00” are placeholders — actual pagination resolves at final print layout (trim size, font, leading, front-matter length all affect it). Replace before KDP upload.</w:t>
      </w:r>
    </w:p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