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left"/>
      </w:pPr>
      <w:r>
        <w:rPr>
          <w:rFonts w:ascii="Times New Roman" w:cs="Times New Roman" w:eastAsia="Times New Roman" w:hAnsi="Times New Roman"/>
          <w:b/>
          <w:bCs/>
          <w:sz w:val="36"/>
          <w:szCs w:val="36"/>
        </w:rPr>
        <w:t xml:space="preserve">End-Matter Pass — Edits 4 to 7</w:t>
      </w:r>
    </w:p>
    <w:p>
      <w:pPr>
        <w:spacing w:after="160" w:before="0" w:line="320"/>
        <w:jc w:val="left"/>
      </w:pPr>
      <w:r>
        <w:rPr>
          <w:rFonts w:ascii="Times New Roman" w:cs="Times New Roman" w:eastAsia="Times New Roman" w:hAnsi="Times New Roman"/>
          <w:b w:val="false"/>
          <w:bCs w:val="false"/>
          <w:sz w:val="22"/>
          <w:szCs w:val="22"/>
        </w:rPr>
        <w:t xml:space="preserve">This document contains the end-matter changes flagged in the execution map. Each edit shows the current text and the proposed replacement. Find the location in your manuscript, replace as shown.</w:t>
      </w:r>
    </w:p>
    <w:p>
      <w:pPr>
        <w:spacing w:after="160" w:before="0" w:line="320"/>
        <w:jc w:val="left"/>
      </w:pPr>
      <w:r>
        <w:rPr>
          <w:rFonts w:ascii="Times New Roman" w:cs="Times New Roman" w:eastAsia="Times New Roman" w:hAnsi="Times New Roman"/>
          <w:b w:val="false"/>
          <w:bCs w:val="false"/>
          <w:sz w:val="22"/>
          <w:szCs w:val="22"/>
        </w:rPr>
        <w:t xml:space="preserve">Source: MTG_SurgeonManuscript_V0_5.docx, end-matter sections following the chapter body.</w:t>
      </w:r>
    </w:p>
    <w:p>
      <w:pPr>
        <w:keepNext/>
        <w:pBdr>
          <w:bottom w:val="single" w:color="888888" w:sz="6"/>
        </w:pBdr>
        <w:spacing w:after="120" w:before="480"/>
      </w:pPr>
      <w:r>
        <w:rPr>
          <w:rFonts w:ascii="Times New Roman" w:cs="Times New Roman" w:eastAsia="Times New Roman" w:hAnsi="Times New Roman"/>
          <w:b/>
          <w:bCs/>
          <w:sz w:val="28"/>
          <w:szCs w:val="28"/>
        </w:rPr>
        <w:t xml:space="preserve">EDIT 4 — Chapter themes table, Ch8 rows</w:t>
      </w:r>
    </w:p>
    <w:p>
      <w:pPr>
        <w:spacing w:after="200" w:before="0"/>
        <w:jc w:val="left"/>
      </w:pPr>
      <w:r>
        <w:rPr>
          <w:rFonts w:ascii="Times New Roman" w:cs="Times New Roman" w:eastAsia="Times New Roman" w:hAnsi="Times New Roman"/>
          <w:i/>
          <w:iCs/>
          <w:color w:val="666666"/>
          <w:sz w:val="20"/>
          <w:szCs w:val="20"/>
        </w:rPr>
        <w:t xml:space="preserve">Location: end-matter chapter themes table. Two of the three Ch8 rows need revision; one stands.</w:t>
      </w:r>
    </w:p>
    <w:p>
      <w:pPr>
        <w:keepNext/>
        <w:spacing w:after="80" w:before="200"/>
      </w:pPr>
      <w:r>
        <w:rPr>
          <w:rFonts w:ascii="Times New Roman" w:cs="Times New Roman" w:eastAsia="Times New Roman" w:hAnsi="Times New Roman"/>
          <w:b/>
          <w:bCs/>
          <w:i/>
          <w:iCs/>
          <w:color w:val="666666"/>
          <w:sz w:val="22"/>
          <w:szCs w:val="22"/>
        </w:rPr>
        <w:t xml:space="preserve">Row 1 (Filling a gap)</w:t>
      </w:r>
    </w:p>
    <w:p>
      <w:pPr>
        <w:keepNext/>
        <w:spacing w:after="60" w:before="160"/>
      </w:pPr>
      <w:r>
        <w:rPr>
          <w:rFonts w:ascii="Times New Roman" w:cs="Times New Roman" w:eastAsia="Times New Roman" w:hAnsi="Times New Roman"/>
          <w:b/>
          <w:bCs/>
          <w:color w:val="444444"/>
          <w:sz w:val="20"/>
          <w:szCs w:val="20"/>
        </w:rPr>
        <w:t xml:space="preserve">Current right-most column reads:</w:t>
      </w:r>
    </w:p>
    <w:p>
      <w:pPr>
        <w:spacing w:after="160" w:before="0" w:line="320"/>
        <w:ind w:left="360"/>
        <w:jc w:val="left"/>
      </w:pPr>
      <w:r>
        <w:rPr>
          <w:rFonts w:ascii="Times New Roman" w:cs="Times New Roman" w:eastAsia="Times New Roman" w:hAnsi="Times New Roman"/>
          <w:b w:val="false"/>
          <w:bCs w:val="false"/>
          <w:i/>
          <w:iCs/>
          <w:color w:val="666666"/>
          <w:sz w:val="22"/>
          <w:szCs w:val="22"/>
        </w:rPr>
        <w:t xml:space="preserve">Two directional defences against the same problem: visibility of absence.</w:t>
      </w:r>
    </w:p>
    <w:p>
      <w:pPr>
        <w:keepNext/>
        <w:spacing w:after="60" w:before="160"/>
      </w:pPr>
      <w:r>
        <w:rPr>
          <w:rFonts w:ascii="Times New Roman" w:cs="Times New Roman" w:eastAsia="Times New Roman" w:hAnsi="Times New Roman"/>
          <w:b/>
          <w:bCs/>
          <w:color w:val="444444"/>
          <w:sz w:val="20"/>
          <w:szCs w:val="20"/>
        </w:rPr>
        <w:t xml:space="preserve">Replace right-most column with:</w:t>
      </w:r>
    </w:p>
    <w:p>
      <w:pPr>
        <w:spacing w:after="160" w:before="0" w:line="320"/>
        <w:ind w:left="360"/>
        <w:jc w:val="left"/>
      </w:pPr>
      <w:r>
        <w:rPr>
          <w:rFonts w:ascii="Times New Roman" w:cs="Times New Roman" w:eastAsia="Times New Roman" w:hAnsi="Times New Roman"/>
          <w:b w:val="false"/>
          <w:bCs w:val="false"/>
          <w:i/>
          <w:iCs/>
          <w:sz w:val="22"/>
          <w:szCs w:val="22"/>
        </w:rPr>
        <w:t xml:space="preserve">Three behaviours, two directions, one structural problem: the visibility of absence with no mechanism for sitting with it.</w:t>
      </w:r>
    </w:p>
    <w:p>
      <w:pPr>
        <w:keepNext/>
        <w:spacing w:after="80" w:before="200"/>
      </w:pPr>
      <w:r>
        <w:rPr>
          <w:rFonts w:ascii="Times New Roman" w:cs="Times New Roman" w:eastAsia="Times New Roman" w:hAnsi="Times New Roman"/>
          <w:b/>
          <w:bCs/>
          <w:i/>
          <w:iCs/>
          <w:color w:val="666666"/>
          <w:sz w:val="22"/>
          <w:szCs w:val="22"/>
        </w:rPr>
        <w:t xml:space="preserve">Row 2 (Defended Gap framework)</w:t>
      </w:r>
    </w:p>
    <w:p>
      <w:pPr>
        <w:keepNext/>
        <w:spacing w:after="60" w:before="160"/>
      </w:pPr>
      <w:r>
        <w:rPr>
          <w:rFonts w:ascii="Times New Roman" w:cs="Times New Roman" w:eastAsia="Times New Roman" w:hAnsi="Times New Roman"/>
          <w:b/>
          <w:bCs/>
          <w:color w:val="444444"/>
          <w:sz w:val="20"/>
          <w:szCs w:val="20"/>
        </w:rPr>
        <w:t xml:space="preserve">Current row reads (in order: chapter | concept | human side | AI side | weight | note):</w:t>
      </w:r>
    </w:p>
    <w:p>
      <w:pPr>
        <w:spacing w:after="160" w:before="0" w:line="320"/>
        <w:ind w:left="360"/>
        <w:jc w:val="left"/>
      </w:pPr>
      <w:r>
        <w:rPr>
          <w:rFonts w:ascii="Times New Roman" w:cs="Times New Roman" w:eastAsia="Times New Roman" w:hAnsi="Times New Roman"/>
          <w:b w:val="false"/>
          <w:bCs w:val="false"/>
          <w:i w:val="false"/>
          <w:iCs w:val="false"/>
          <w:color w:val="666666"/>
          <w:sz w:val="22"/>
          <w:szCs w:val="22"/>
        </w:rPr>
        <w:t xml:space="preserve">8 │ Defended Gap framework │ NGE-FOF — inward and outward shame defence │ Compression inward, hallucination outward — same shape, different substrate │ Very Significant │ </w:t>
      </w:r>
      <w:r>
        <w:rPr>
          <w:rFonts w:ascii="Times New Roman" w:cs="Times New Roman" w:eastAsia="Times New Roman" w:hAnsi="Times New Roman"/>
          <w:b w:val="false"/>
          <w:bCs w:val="false"/>
          <w:i/>
          <w:iCs/>
          <w:color w:val="666666"/>
          <w:sz w:val="22"/>
          <w:szCs w:val="22"/>
        </w:rPr>
        <w:t xml:space="preserve">Paul’s framework applied across human and machine. The book’s central new theory.</w:t>
      </w:r>
    </w:p>
    <w:p>
      <w:pPr>
        <w:keepNext/>
        <w:spacing w:after="60" w:before="160"/>
      </w:pPr>
      <w:r>
        <w:rPr>
          <w:rFonts w:ascii="Times New Roman" w:cs="Times New Roman" w:eastAsia="Times New Roman" w:hAnsi="Times New Roman"/>
          <w:b/>
          <w:bCs/>
          <w:color w:val="444444"/>
          <w:sz w:val="20"/>
          <w:szCs w:val="20"/>
        </w:rPr>
        <w:t xml:space="preserve">Replace with:</w:t>
      </w:r>
    </w:p>
    <w:p>
      <w:pPr>
        <w:spacing w:after="160" w:before="0" w:line="320"/>
        <w:ind w:left="360"/>
        <w:jc w:val="left"/>
      </w:pPr>
      <w:r>
        <w:rPr>
          <w:rFonts w:ascii="Times New Roman" w:cs="Times New Roman" w:eastAsia="Times New Roman" w:hAnsi="Times New Roman"/>
          <w:b w:val="false"/>
          <w:bCs w:val="false"/>
          <w:i w:val="false"/>
          <w:iCs w:val="false"/>
          <w:sz w:val="22"/>
          <w:szCs w:val="22"/>
        </w:rPr>
        <w:t xml:space="preserve">8 │ Defended Gap framework │ NGE-FOF — directional defence under coherence pressure │ Compression, hallucination and sycophancy as three failure modes from one shape; substrate different │ Very Significant │ </w:t>
      </w:r>
      <w:r>
        <w:rPr>
          <w:rFonts w:ascii="Times New Roman" w:cs="Times New Roman" w:eastAsia="Times New Roman" w:hAnsi="Times New Roman"/>
          <w:b w:val="false"/>
          <w:bCs w:val="false"/>
          <w:i/>
          <w:iCs/>
          <w:sz w:val="22"/>
          <w:szCs w:val="22"/>
        </w:rPr>
        <w:t xml:space="preserve">Cross-domain claim: a human directional shame-regulation model fits AI failure exactly. Original ground.</w:t>
      </w:r>
    </w:p>
    <w:p>
      <w:pPr>
        <w:keepNext/>
        <w:spacing w:after="80" w:before="200"/>
      </w:pPr>
      <w:r>
        <w:rPr>
          <w:rFonts w:ascii="Times New Roman" w:cs="Times New Roman" w:eastAsia="Times New Roman" w:hAnsi="Times New Roman"/>
          <w:b/>
          <w:bCs/>
          <w:i/>
          <w:iCs/>
          <w:color w:val="666666"/>
          <w:sz w:val="22"/>
          <w:szCs w:val="22"/>
        </w:rPr>
        <w:t xml:space="preserve">Row 3 (Adaptation becomes identity)</w:t>
      </w:r>
    </w:p>
    <w:p>
      <w:pPr>
        <w:spacing w:after="160" w:before="0" w:line="320"/>
        <w:jc w:val="left"/>
      </w:pPr>
      <w:r>
        <w:rPr>
          <w:rFonts w:ascii="Times New Roman" w:cs="Times New Roman" w:eastAsia="Times New Roman" w:hAnsi="Times New Roman"/>
          <w:b w:val="false"/>
          <w:bCs w:val="false"/>
          <w:sz w:val="22"/>
          <w:szCs w:val="22"/>
        </w:rPr>
        <w:t xml:space="preserve">No change. Stands as-is.</w:t>
      </w:r>
    </w:p>
    <w:p>
      <w:pPr>
        <w:keepNext/>
        <w:pBdr>
          <w:bottom w:val="single" w:color="888888" w:sz="6"/>
        </w:pBdr>
        <w:spacing w:after="120" w:before="480"/>
      </w:pPr>
      <w:r>
        <w:rPr>
          <w:rFonts w:ascii="Times New Roman" w:cs="Times New Roman" w:eastAsia="Times New Roman" w:hAnsi="Times New Roman"/>
          <w:b/>
          <w:bCs/>
          <w:sz w:val="28"/>
          <w:szCs w:val="28"/>
        </w:rPr>
        <w:t xml:space="preserve">EDIT 5 — Ch8 chapter description</w:t>
      </w:r>
    </w:p>
    <w:p>
      <w:pPr>
        <w:spacing w:after="200" w:before="0"/>
        <w:jc w:val="left"/>
      </w:pPr>
      <w:r>
        <w:rPr>
          <w:rFonts w:ascii="Times New Roman" w:cs="Times New Roman" w:eastAsia="Times New Roman" w:hAnsi="Times New Roman"/>
          <w:i/>
          <w:iCs/>
          <w:color w:val="666666"/>
          <w:sz w:val="20"/>
          <w:szCs w:val="20"/>
        </w:rPr>
        <w:t xml:space="preserve">Location: end-matter, in the section just before “Part One — The Sources and Why They Matter”, the standalone paragraph describing what Chapter 8 develops.</w:t>
      </w:r>
    </w:p>
    <w:p>
      <w:pPr>
        <w:keepNext/>
        <w:spacing w:after="60" w:before="160"/>
      </w:pPr>
      <w:r>
        <w:rPr>
          <w:rFonts w:ascii="Times New Roman" w:cs="Times New Roman" w:eastAsia="Times New Roman" w:hAnsi="Times New Roman"/>
          <w:b/>
          <w:bCs/>
          <w:color w:val="444444"/>
          <w:sz w:val="20"/>
          <w:szCs w:val="20"/>
        </w:rPr>
        <w:t xml:space="preserve">Current paragraph reads:</w:t>
      </w:r>
    </w:p>
    <w:p>
      <w:pPr>
        <w:spacing w:after="160" w:before="0" w:line="320"/>
        <w:ind w:left="360"/>
        <w:jc w:val="left"/>
      </w:pPr>
      <w:r>
        <w:rPr>
          <w:rFonts w:ascii="Times New Roman" w:cs="Times New Roman" w:eastAsia="Times New Roman" w:hAnsi="Times New Roman"/>
          <w:b w:val="false"/>
          <w:bCs w:val="false"/>
          <w:color w:val="666666"/>
          <w:sz w:val="22"/>
          <w:szCs w:val="22"/>
        </w:rPr>
        <w:t xml:space="preserve">Chapter 8 (Hallucination — The Defended Gap) develops a clinical observation about directional defence — the inward and outward responses humans use under coherence pressure when the visibility of absence becomes unbearable. The terms NGE and FOF are the author’s. The underlying observation has older clinical roots, set out below under Clinical Foundations of Directional Defence.</w:t>
      </w:r>
    </w:p>
    <w:p>
      <w:pPr>
        <w:keepNext/>
        <w:spacing w:after="60" w:before="160"/>
      </w:pPr>
      <w:r>
        <w:rPr>
          <w:rFonts w:ascii="Times New Roman" w:cs="Times New Roman" w:eastAsia="Times New Roman" w:hAnsi="Times New Roman"/>
          <w:b/>
          <w:bCs/>
          <w:color w:val="444444"/>
          <w:sz w:val="20"/>
          <w:szCs w:val="20"/>
        </w:rPr>
        <w:t xml:space="preserve">Replace with:</w:t>
      </w:r>
    </w:p>
    <w:p>
      <w:pPr>
        <w:spacing w:after="160" w:before="0" w:line="320"/>
        <w:ind w:left="360"/>
        <w:jc w:val="left"/>
      </w:pPr>
      <w:r>
        <w:rPr>
          <w:rFonts w:ascii="Times New Roman" w:cs="Times New Roman" w:eastAsia="Times New Roman" w:hAnsi="Times New Roman"/>
          <w:b w:val="false"/>
          <w:bCs w:val="false"/>
          <w:sz w:val="22"/>
          <w:szCs w:val="22"/>
        </w:rPr>
        <w:t xml:space="preserve">Chapter 8 (Hallucination — The Defended Gap) makes a cross-domain structural claim: that compression, hallucination and sycophancy in AI are three directional defences against the same gap — the visibility of not-knowing with no mechanism for sitting with it — and that the same directional pattern has been mapped on the human side under a longer lineage (Achenbach, Rotter, Nathanson, Blatt). The terms NGE and FOF are the author’s. The directional axis itself has been mapped under other names for sixty years; NGE-FOF sits inside Blatt’s introjective pole as a clinically-observed sub-structure. The originality is the cross-domain reach. Set out below under Foundations of Directional Defence.</w:t>
      </w:r>
    </w:p>
    <w:p>
      <w:pPr>
        <w:keepNext/>
        <w:pBdr>
          <w:bottom w:val="single" w:color="888888" w:sz="6"/>
        </w:pBdr>
        <w:spacing w:after="120" w:before="480"/>
      </w:pPr>
      <w:r>
        <w:rPr>
          <w:rFonts w:ascii="Times New Roman" w:cs="Times New Roman" w:eastAsia="Times New Roman" w:hAnsi="Times New Roman"/>
          <w:b/>
          <w:bCs/>
          <w:sz w:val="28"/>
          <w:szCs w:val="28"/>
        </w:rPr>
        <w:t xml:space="preserve">EDIT 6 — Foundations of Directional Defence</w:t>
      </w:r>
    </w:p>
    <w:p>
      <w:pPr>
        <w:spacing w:after="200" w:before="0"/>
        <w:jc w:val="left"/>
      </w:pPr>
      <w:r>
        <w:rPr>
          <w:rFonts w:ascii="Times New Roman" w:cs="Times New Roman" w:eastAsia="Times New Roman" w:hAnsi="Times New Roman"/>
          <w:i/>
          <w:iCs/>
          <w:color w:val="666666"/>
          <w:sz w:val="20"/>
          <w:szCs w:val="20"/>
        </w:rPr>
        <w:t xml:space="preserve">Location: end-matter, the section currently titled “Clinical Foundations of Directional Defence.” Substantial reconciliation — the matured Ch8 named Achenbach, Rotter, Nathanson, Blatt as the primary anchors. The existing clinical antecedents (Horney, Kohut, Firman, Winnicott, Nathanson) remain as substrate.</w:t>
      </w:r>
    </w:p>
    <w:p>
      <w:pPr>
        <w:keepNext/>
        <w:spacing w:after="60" w:before="160"/>
      </w:pPr>
      <w:r>
        <w:rPr>
          <w:rFonts w:ascii="Times New Roman" w:cs="Times New Roman" w:eastAsia="Times New Roman" w:hAnsi="Times New Roman"/>
          <w:b/>
          <w:bCs/>
          <w:color w:val="444444"/>
          <w:sz w:val="20"/>
          <w:szCs w:val="20"/>
        </w:rPr>
        <w:t xml:space="preserve">Rename the section:</w:t>
      </w:r>
    </w:p>
    <w:p>
      <w:pPr>
        <w:spacing w:after="160" w:before="0" w:line="320"/>
        <w:ind w:left="360"/>
        <w:jc w:val="left"/>
      </w:pPr>
      <w:r>
        <w:rPr>
          <w:rFonts w:ascii="Times New Roman" w:cs="Times New Roman" w:eastAsia="Times New Roman" w:hAnsi="Times New Roman"/>
          <w:b w:val="false"/>
          <w:bCs w:val="false"/>
          <w:color w:val="666666"/>
          <w:sz w:val="22"/>
          <w:szCs w:val="22"/>
        </w:rPr>
        <w:t xml:space="preserve">Clinical Foundations of Directional Defence</w:t>
      </w:r>
    </w:p>
    <w:p>
      <w:pPr>
        <w:spacing w:after="160" w:before="0" w:line="320"/>
        <w:ind w:left="360"/>
        <w:jc w:val="left"/>
      </w:pPr>
      <w:r>
        <w:rPr>
          <w:rFonts w:ascii="Times New Roman" w:cs="Times New Roman" w:eastAsia="Times New Roman" w:hAnsi="Times New Roman"/>
          <w:b w:val="false"/>
          <w:bCs w:val="false"/>
          <w:sz w:val="22"/>
          <w:szCs w:val="22"/>
        </w:rPr>
        <w:t xml:space="preserve">Foundations of Directional Defence</w:t>
      </w:r>
    </w:p>
    <w:p>
      <w:pPr>
        <w:keepNext/>
        <w:spacing w:after="60" w:before="160"/>
      </w:pPr>
      <w:r>
        <w:rPr>
          <w:rFonts w:ascii="Times New Roman" w:cs="Times New Roman" w:eastAsia="Times New Roman" w:hAnsi="Times New Roman"/>
          <w:b/>
          <w:bCs/>
          <w:color w:val="444444"/>
          <w:sz w:val="20"/>
          <w:szCs w:val="20"/>
        </w:rPr>
        <w:t xml:space="preserve">Replace the intro paragraph (currently begins “The directional defence observation in Chapter 8 — the inward absorption pattern...”) with:</w:t>
      </w:r>
    </w:p>
    <w:p>
      <w:pPr>
        <w:spacing w:after="160" w:before="0" w:line="320"/>
        <w:ind w:left="360"/>
        <w:jc w:val="left"/>
      </w:pPr>
      <w:r>
        <w:rPr>
          <w:rFonts w:ascii="Times New Roman" w:cs="Times New Roman" w:eastAsia="Times New Roman" w:hAnsi="Times New Roman"/>
          <w:b w:val="false"/>
          <w:bCs w:val="false"/>
          <w:sz w:val="22"/>
          <w:szCs w:val="22"/>
        </w:rPr>
        <w:t xml:space="preserve">The directional defence observation in Chapter 8 — that compression, hallucination and sycophancy are three directional defences against the same gap, the visibility of not-knowing with no mechanism for sitting with it — sits inside two converging lineages. The empirical: the inward/outward axis has been measured under other names for sixty years (Achenbach, 1966; Rotter, 1966; Kotov et al., 2017). The clinical: directional regulation under shame and disintegration anxiety has been theorised across the same period (Horney, Kohut, Winnicott, Firman, Nathanson). Sidney Blatt’s two-polarities model sits in both traditions and provides the upstream scaffold for NGE-FOF as a sub-structure within his introjective pole. The author’s NGE-FOF Continuum is a clinically-observed sub-structure that converges with these traditions and applies the directional shape, for the first time, to AI failure.</w:t>
      </w:r>
    </w:p>
    <w:p>
      <w:pPr>
        <w:keepNext/>
        <w:spacing w:after="60" w:before="160"/>
      </w:pPr>
      <w:r>
        <w:rPr>
          <w:rFonts w:ascii="Times New Roman" w:cs="Times New Roman" w:eastAsia="Times New Roman" w:hAnsi="Times New Roman"/>
          <w:b/>
          <w:bCs/>
          <w:color w:val="444444"/>
          <w:sz w:val="20"/>
          <w:szCs w:val="20"/>
        </w:rPr>
        <w:t xml:space="preserve">Existing entries to keep (no change):</w:t>
      </w:r>
    </w:p>
    <w:p>
      <w:pPr>
        <w:spacing w:after="160" w:before="0" w:line="320"/>
        <w:jc w:val="left"/>
      </w:pP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iCs/>
          <w:sz w:val="22"/>
          <w:szCs w:val="22"/>
        </w:rPr>
        <w:t xml:space="preserve">Our Inner Conflicts</w:t>
      </w:r>
      <w:r>
        <w:rPr>
          <w:rFonts w:ascii="Times New Roman" w:cs="Times New Roman" w:eastAsia="Times New Roman" w:hAnsi="Times New Roman"/>
          <w:b w:val="false"/>
          <w:bCs w:val="false"/>
          <w:i w:val="false"/>
          <w:iCs w:val="false"/>
          <w:sz w:val="22"/>
          <w:szCs w:val="22"/>
        </w:rPr>
        <w:t xml:space="preserve"> — Karen Horney (1945)</w:t>
      </w:r>
    </w:p>
    <w:p>
      <w:pPr>
        <w:spacing w:after="160" w:before="0" w:line="320"/>
        <w:jc w:val="left"/>
      </w:pP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iCs/>
          <w:sz w:val="22"/>
          <w:szCs w:val="22"/>
        </w:rPr>
        <w:t xml:space="preserve">Neurosis and Human Growth</w:t>
      </w:r>
      <w:r>
        <w:rPr>
          <w:rFonts w:ascii="Times New Roman" w:cs="Times New Roman" w:eastAsia="Times New Roman" w:hAnsi="Times New Roman"/>
          <w:b w:val="false"/>
          <w:bCs w:val="false"/>
          <w:i w:val="false"/>
          <w:iCs w:val="false"/>
          <w:sz w:val="22"/>
          <w:szCs w:val="22"/>
        </w:rPr>
        <w:t xml:space="preserve"> — Karen Horney (1950)</w:t>
      </w:r>
    </w:p>
    <w:p>
      <w:pPr>
        <w:spacing w:after="160" w:before="0" w:line="320"/>
        <w:jc w:val="left"/>
      </w:pP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iCs/>
          <w:sz w:val="22"/>
          <w:szCs w:val="22"/>
        </w:rPr>
        <w:t xml:space="preserve">The Maturational Processes and the Facilitating Environment</w:t>
      </w:r>
      <w:r>
        <w:rPr>
          <w:rFonts w:ascii="Times New Roman" w:cs="Times New Roman" w:eastAsia="Times New Roman" w:hAnsi="Times New Roman"/>
          <w:b w:val="false"/>
          <w:bCs w:val="false"/>
          <w:i w:val="false"/>
          <w:iCs w:val="false"/>
          <w:sz w:val="22"/>
          <w:szCs w:val="22"/>
        </w:rPr>
        <w:t xml:space="preserve"> — Donald Winnicott (1965)</w:t>
      </w:r>
    </w:p>
    <w:p>
      <w:pPr>
        <w:spacing w:after="160" w:before="0" w:line="320"/>
        <w:jc w:val="left"/>
      </w:pP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iCs/>
          <w:sz w:val="22"/>
          <w:szCs w:val="22"/>
        </w:rPr>
        <w:t xml:space="preserve">The Restoration of the Self</w:t>
      </w:r>
      <w:r>
        <w:rPr>
          <w:rFonts w:ascii="Times New Roman" w:cs="Times New Roman" w:eastAsia="Times New Roman" w:hAnsi="Times New Roman"/>
          <w:b w:val="false"/>
          <w:bCs w:val="false"/>
          <w:i w:val="false"/>
          <w:iCs w:val="false"/>
          <w:sz w:val="22"/>
          <w:szCs w:val="22"/>
        </w:rPr>
        <w:t xml:space="preserve"> — Heinz Kohut (1977)</w:t>
      </w:r>
    </w:p>
    <w:p>
      <w:pPr>
        <w:keepNext/>
        <w:spacing w:after="60" w:before="160"/>
      </w:pPr>
      <w:r>
        <w:rPr>
          <w:rFonts w:ascii="Times New Roman" w:cs="Times New Roman" w:eastAsia="Times New Roman" w:hAnsi="Times New Roman"/>
          <w:b/>
          <w:bCs/>
          <w:color w:val="444444"/>
          <w:sz w:val="20"/>
          <w:szCs w:val="20"/>
        </w:rPr>
        <w:t xml:space="preserve">Existing entries to revise (two small descriptor updates):</w:t>
      </w:r>
    </w:p>
    <w:p>
      <w:pPr>
        <w:keepNext/>
        <w:spacing w:after="80" w:before="200"/>
      </w:pPr>
      <w:r>
        <w:rPr>
          <w:rFonts w:ascii="Times New Roman" w:cs="Times New Roman" w:eastAsia="Times New Roman" w:hAnsi="Times New Roman"/>
          <w:b/>
          <w:bCs/>
          <w:i/>
          <w:iCs/>
          <w:color w:val="666666"/>
          <w:sz w:val="22"/>
          <w:szCs w:val="22"/>
        </w:rPr>
        <w:t xml:space="preserve">Kohut, 1971</w:t>
      </w:r>
    </w:p>
    <w:p>
      <w:pPr>
        <w:spacing w:after="160" w:before="0" w:line="320"/>
        <w:ind w:left="360"/>
        <w:jc w:val="left"/>
      </w:pPr>
      <w:r>
        <w:rPr>
          <w:rFonts w:ascii="Times New Roman" w:cs="Times New Roman" w:eastAsia="Times New Roman" w:hAnsi="Times New Roman"/>
          <w:b w:val="false"/>
          <w:bCs w:val="false"/>
          <w:i/>
          <w:iCs/>
          <w:color w:val="666666"/>
          <w:sz w:val="22"/>
          <w:szCs w:val="22"/>
        </w:rPr>
        <w:t xml:space="preserve">The Analysis of the Self</w:t>
      </w:r>
      <w:r>
        <w:rPr>
          <w:rFonts w:ascii="Times New Roman" w:cs="Times New Roman" w:eastAsia="Times New Roman" w:hAnsi="Times New Roman"/>
          <w:b w:val="false"/>
          <w:bCs w:val="false"/>
          <w:i w:val="false"/>
          <w:iCs w:val="false"/>
          <w:color w:val="666666"/>
          <w:sz w:val="22"/>
          <w:szCs w:val="22"/>
        </w:rPr>
        <w:t xml:space="preserve"> — Heinz Kohut (1971)
Kohut’s self psychology established disintegration anxiety as a clinical concept. Named in Chapter 8’s closing antecedents note.</w:t>
      </w:r>
    </w:p>
    <w:p>
      <w:pPr>
        <w:keepNext/>
        <w:spacing w:after="60" w:before="160"/>
      </w:pPr>
      <w:r>
        <w:rPr>
          <w:rFonts w:ascii="Times New Roman" w:cs="Times New Roman" w:eastAsia="Times New Roman" w:hAnsi="Times New Roman"/>
          <w:b/>
          <w:bCs/>
          <w:color w:val="444444"/>
          <w:sz w:val="20"/>
          <w:szCs w:val="20"/>
        </w:rPr>
        <w:t xml:space="preserve">Replace last line. The Ch8 closing antecedents note no longer exists in the matured chapter. New text:</w:t>
      </w:r>
    </w:p>
    <w:p>
      <w:pPr>
        <w:spacing w:after="160" w:before="0" w:line="320"/>
        <w:ind w:left="360"/>
        <w:jc w:val="left"/>
      </w:pPr>
      <w:r>
        <w:rPr>
          <w:rFonts w:ascii="Times New Roman" w:cs="Times New Roman" w:eastAsia="Times New Roman" w:hAnsi="Times New Roman"/>
          <w:b w:val="false"/>
          <w:bCs w:val="false"/>
          <w:i/>
          <w:iCs/>
          <w:sz w:val="22"/>
          <w:szCs w:val="22"/>
        </w:rPr>
        <w:t xml:space="preserve">The Analysis of the Self</w:t>
      </w:r>
      <w:r>
        <w:rPr>
          <w:rFonts w:ascii="Times New Roman" w:cs="Times New Roman" w:eastAsia="Times New Roman" w:hAnsi="Times New Roman"/>
          <w:b w:val="false"/>
          <w:bCs w:val="false"/>
          <w:i w:val="false"/>
          <w:iCs w:val="false"/>
          <w:sz w:val="22"/>
          <w:szCs w:val="22"/>
        </w:rPr>
        <w:t xml:space="preserve"> — Heinz Kohut (1971)
Kohut’s self psychology established disintegration anxiety as a clinical concept. The concept of self-cohesion-under-threat informs the substrate beneath the directional defence framework in Chapter 8.</w:t>
      </w:r>
    </w:p>
    <w:p>
      <w:pPr>
        <w:keepNext/>
        <w:spacing w:after="80" w:before="200"/>
      </w:pPr>
      <w:r>
        <w:rPr>
          <w:rFonts w:ascii="Times New Roman" w:cs="Times New Roman" w:eastAsia="Times New Roman" w:hAnsi="Times New Roman"/>
          <w:b/>
          <w:bCs/>
          <w:i/>
          <w:iCs/>
          <w:color w:val="666666"/>
          <w:sz w:val="22"/>
          <w:szCs w:val="22"/>
        </w:rPr>
        <w:t xml:space="preserve">Nathanson, 1992</w:t>
      </w:r>
    </w:p>
    <w:p>
      <w:pPr>
        <w:spacing w:after="160" w:before="0" w:line="320"/>
        <w:ind w:left="360"/>
        <w:jc w:val="left"/>
      </w:pPr>
      <w:r>
        <w:rPr>
          <w:rFonts w:ascii="Times New Roman" w:cs="Times New Roman" w:eastAsia="Times New Roman" w:hAnsi="Times New Roman"/>
          <w:b w:val="false"/>
          <w:bCs w:val="false"/>
          <w:i/>
          <w:iCs/>
          <w:color w:val="666666"/>
          <w:sz w:val="22"/>
          <w:szCs w:val="22"/>
        </w:rPr>
        <w:t xml:space="preserve">Shame and Pride</w:t>
      </w:r>
      <w:r>
        <w:rPr>
          <w:rFonts w:ascii="Times New Roman" w:cs="Times New Roman" w:eastAsia="Times New Roman" w:hAnsi="Times New Roman"/>
          <w:b w:val="false"/>
          <w:bCs w:val="false"/>
          <w:i w:val="false"/>
          <w:iCs w:val="false"/>
          <w:color w:val="666666"/>
          <w:sz w:val="22"/>
          <w:szCs w:val="22"/>
        </w:rPr>
        <w:t xml:space="preserve"> (and the ‘compass of shame’ it introduces) — Donald Nathanson (1992)
Nathanson’s four poles of shame regulation — withdrawal, avoidance, attack self, attack other. Named in Chapter 8’s closing antecedents note.</w:t>
      </w:r>
    </w:p>
    <w:p>
      <w:pPr>
        <w:keepNext/>
        <w:spacing w:after="60" w:before="160"/>
      </w:pPr>
      <w:r>
        <w:rPr>
          <w:rFonts w:ascii="Times New Roman" w:cs="Times New Roman" w:eastAsia="Times New Roman" w:hAnsi="Times New Roman"/>
          <w:b/>
          <w:bCs/>
          <w:color w:val="444444"/>
          <w:sz w:val="20"/>
          <w:szCs w:val="20"/>
        </w:rPr>
        <w:t xml:space="preserve">Replace last line. New text:</w:t>
      </w:r>
    </w:p>
    <w:p>
      <w:pPr>
        <w:spacing w:after="160" w:before="0" w:line="320"/>
        <w:ind w:left="360"/>
        <w:jc w:val="left"/>
      </w:pPr>
      <w:r>
        <w:rPr>
          <w:rFonts w:ascii="Times New Roman" w:cs="Times New Roman" w:eastAsia="Times New Roman" w:hAnsi="Times New Roman"/>
          <w:b w:val="false"/>
          <w:bCs w:val="false"/>
          <w:i/>
          <w:iCs/>
          <w:sz w:val="22"/>
          <w:szCs w:val="22"/>
        </w:rPr>
        <w:t xml:space="preserve">Shame and Pride</w:t>
      </w:r>
      <w:r>
        <w:rPr>
          <w:rFonts w:ascii="Times New Roman" w:cs="Times New Roman" w:eastAsia="Times New Roman" w:hAnsi="Times New Roman"/>
          <w:b w:val="false"/>
          <w:bCs w:val="false"/>
          <w:i w:val="false"/>
          <w:iCs w:val="false"/>
          <w:sz w:val="22"/>
          <w:szCs w:val="22"/>
        </w:rPr>
        <w:t xml:space="preserve"> (and the ‘compass of shame’ it introduces) — Donald Nathanson (1992)
Nathanson’s four poles of shame regulation — withdrawal, avoidance, attack self, attack other — of which attack-self and withdrawal map to internalizing and attack-other to externalizing. Named in the lineage section of Chapter 8 as one of the four primary anchors.</w:t>
      </w:r>
    </w:p>
    <w:p>
      <w:pPr>
        <w:keepNext/>
        <w:spacing w:after="60" w:before="160"/>
      </w:pPr>
      <w:r>
        <w:rPr>
          <w:rFonts w:ascii="Times New Roman" w:cs="Times New Roman" w:eastAsia="Times New Roman" w:hAnsi="Times New Roman"/>
          <w:b/>
          <w:bCs/>
          <w:color w:val="444444"/>
          <w:sz w:val="20"/>
          <w:szCs w:val="20"/>
        </w:rPr>
        <w:t xml:space="preserve">New entries to add (in date order, alongside existing):</w:t>
      </w:r>
    </w:p>
    <w:p>
      <w:pPr>
        <w:keepNext/>
        <w:spacing w:after="80" w:before="200"/>
      </w:pPr>
      <w:r>
        <w:rPr>
          <w:rFonts w:ascii="Times New Roman" w:cs="Times New Roman" w:eastAsia="Times New Roman" w:hAnsi="Times New Roman"/>
          <w:b/>
          <w:bCs/>
          <w:i/>
          <w:iCs/>
          <w:color w:val="666666"/>
          <w:sz w:val="22"/>
          <w:szCs w:val="22"/>
        </w:rPr>
        <w:t xml:space="preserve">Achenbach, 1966 — ADD</w:t>
      </w:r>
    </w:p>
    <w:p>
      <w:pPr>
        <w:spacing w:after="160" w:before="0" w:line="320"/>
        <w:ind w:left="360"/>
        <w:jc w:val="left"/>
      </w:pPr>
      <w:r>
        <w:rPr>
          <w:rFonts w:ascii="Times New Roman" w:cs="Times New Roman" w:eastAsia="Times New Roman" w:hAnsi="Times New Roman"/>
          <w:b w:val="false"/>
          <w:bCs w:val="false"/>
          <w:i/>
          <w:iCs/>
          <w:sz w:val="22"/>
          <w:szCs w:val="22"/>
        </w:rPr>
        <w:t xml:space="preserve">The Classification of Children’s Psychiatric Symptoms: A Factor-Analytic Study</w:t>
      </w:r>
      <w:r>
        <w:rPr>
          <w:rFonts w:ascii="Times New Roman" w:cs="Times New Roman" w:eastAsia="Times New Roman" w:hAnsi="Times New Roman"/>
          <w:b w:val="false"/>
          <w:bCs w:val="false"/>
          <w:i w:val="false"/>
          <w:iCs w:val="false"/>
          <w:sz w:val="22"/>
          <w:szCs w:val="22"/>
        </w:rPr>
        <w:t xml:space="preserve"> — Thomas Achenbach (1966)
Achenbach coined the terms </w:t>
      </w:r>
      <w:r>
        <w:rPr>
          <w:rFonts w:ascii="Times New Roman" w:cs="Times New Roman" w:eastAsia="Times New Roman" w:hAnsi="Times New Roman"/>
          <w:b w:val="false"/>
          <w:bCs w:val="false"/>
          <w:i/>
          <w:iCs/>
          <w:sz w:val="22"/>
          <w:szCs w:val="22"/>
        </w:rPr>
        <w:t xml:space="preserve">internalizing</w:t>
      </w:r>
      <w:r>
        <w:rPr>
          <w:rFonts w:ascii="Times New Roman" w:cs="Times New Roman" w:eastAsia="Times New Roman" w:hAnsi="Times New Roman"/>
          <w:b w:val="false"/>
          <w:bCs w:val="false"/>
          <w:i w:val="false"/>
          <w:iCs w:val="false"/>
          <w:sz w:val="22"/>
          <w:szCs w:val="22"/>
        </w:rPr>
        <w:t xml:space="preserve"> and </w:t>
      </w:r>
      <w:r>
        <w:rPr>
          <w:rFonts w:ascii="Times New Roman" w:cs="Times New Roman" w:eastAsia="Times New Roman" w:hAnsi="Times New Roman"/>
          <w:b w:val="false"/>
          <w:bCs w:val="false"/>
          <w:i/>
          <w:iCs/>
          <w:sz w:val="22"/>
          <w:szCs w:val="22"/>
        </w:rPr>
        <w:t xml:space="preserve">externalizing</w:t>
      </w:r>
      <w:r>
        <w:rPr>
          <w:rFonts w:ascii="Times New Roman" w:cs="Times New Roman" w:eastAsia="Times New Roman" w:hAnsi="Times New Roman"/>
          <w:b w:val="false"/>
          <w:bCs w:val="false"/>
          <w:i w:val="false"/>
          <w:iCs w:val="false"/>
          <w:sz w:val="22"/>
          <w:szCs w:val="22"/>
        </w:rPr>
        <w:t xml:space="preserve"> via principal-factor analysis on six hundred child psychiatric patients. The two-factor structure has replicated across the lifespan and now anchors the modern dimensional consolidation of psychopathology (HiTOP; Kotov et al., 2017). The directional axis underlying NGE-FOF is the inward/outward axis Achenbach was the first to name and measure. Named in the lineage section of Chapter 8.</w:t>
      </w:r>
    </w:p>
    <w:p>
      <w:pPr>
        <w:keepNext/>
        <w:spacing w:after="80" w:before="200"/>
      </w:pPr>
      <w:r>
        <w:rPr>
          <w:rFonts w:ascii="Times New Roman" w:cs="Times New Roman" w:eastAsia="Times New Roman" w:hAnsi="Times New Roman"/>
          <w:b/>
          <w:bCs/>
          <w:i/>
          <w:iCs/>
          <w:color w:val="666666"/>
          <w:sz w:val="22"/>
          <w:szCs w:val="22"/>
        </w:rPr>
        <w:t xml:space="preserve">Rotter, 1966 — ADD</w:t>
      </w:r>
    </w:p>
    <w:p>
      <w:pPr>
        <w:spacing w:after="160" w:before="0" w:line="320"/>
        <w:ind w:left="360"/>
        <w:jc w:val="left"/>
      </w:pPr>
      <w:r>
        <w:rPr>
          <w:rFonts w:ascii="Times New Roman" w:cs="Times New Roman" w:eastAsia="Times New Roman" w:hAnsi="Times New Roman"/>
          <w:b w:val="false"/>
          <w:bCs w:val="false"/>
          <w:i/>
          <w:iCs/>
          <w:sz w:val="22"/>
          <w:szCs w:val="22"/>
        </w:rPr>
        <w:t xml:space="preserve">Generalized Expectancies for Internal Versus External Control of Reinforcement</w:t>
      </w:r>
      <w:r>
        <w:rPr>
          <w:rFonts w:ascii="Times New Roman" w:cs="Times New Roman" w:eastAsia="Times New Roman" w:hAnsi="Times New Roman"/>
          <w:b w:val="false"/>
          <w:bCs w:val="false"/>
          <w:i w:val="false"/>
          <w:iCs w:val="false"/>
          <w:sz w:val="22"/>
          <w:szCs w:val="22"/>
        </w:rPr>
        <w:t xml:space="preserve"> — Julian Rotter (1966)
The I-E Scale and the construct of locus of control. Internal locus — own ability and effort: </w:t>
      </w:r>
      <w:r>
        <w:rPr>
          <w:rFonts w:ascii="Times New Roman" w:cs="Times New Roman" w:eastAsia="Times New Roman" w:hAnsi="Times New Roman"/>
          <w:b w:val="false"/>
          <w:bCs w:val="false"/>
          <w:i/>
          <w:iCs/>
          <w:sz w:val="22"/>
          <w:szCs w:val="22"/>
        </w:rPr>
        <w:t xml:space="preserve">I must be better</w:t>
      </w:r>
      <w:r>
        <w:rPr>
          <w:rFonts w:ascii="Times New Roman" w:cs="Times New Roman" w:eastAsia="Times New Roman" w:hAnsi="Times New Roman"/>
          <w:b w:val="false"/>
          <w:bCs w:val="false"/>
          <w:i w:val="false"/>
          <w:iCs w:val="false"/>
          <w:sz w:val="22"/>
          <w:szCs w:val="22"/>
        </w:rPr>
        <w:t xml:space="preserve">. External locus — </w:t>
      </w:r>
      <w:r>
        <w:rPr>
          <w:rFonts w:ascii="Times New Roman" w:cs="Times New Roman" w:eastAsia="Times New Roman" w:hAnsi="Times New Roman"/>
          <w:b w:val="false"/>
          <w:bCs w:val="false"/>
          <w:i/>
          <w:iCs/>
          <w:sz w:val="22"/>
          <w:szCs w:val="22"/>
        </w:rPr>
        <w:t xml:space="preserve">Not My Fault</w:t>
      </w:r>
      <w:r>
        <w:rPr>
          <w:rFonts w:ascii="Times New Roman" w:cs="Times New Roman" w:eastAsia="Times New Roman" w:hAnsi="Times New Roman"/>
          <w:b w:val="false"/>
          <w:bCs w:val="false"/>
          <w:i w:val="false"/>
          <w:iCs w:val="false"/>
          <w:sz w:val="22"/>
          <w:szCs w:val="22"/>
        </w:rPr>
        <w:t xml:space="preserve">. Rotter framed the construct explicitly as a continuum, not a typology. Standardised since 1966 and one of the most widely-cited instruments in social psychology. Named in the lineage section of Chapter 8.</w:t>
      </w:r>
    </w:p>
    <w:p>
      <w:pPr>
        <w:keepNext/>
        <w:spacing w:after="80" w:before="200"/>
      </w:pPr>
      <w:r>
        <w:rPr>
          <w:rFonts w:ascii="Times New Roman" w:cs="Times New Roman" w:eastAsia="Times New Roman" w:hAnsi="Times New Roman"/>
          <w:b/>
          <w:bCs/>
          <w:i/>
          <w:iCs/>
          <w:color w:val="666666"/>
          <w:sz w:val="22"/>
          <w:szCs w:val="22"/>
        </w:rPr>
        <w:t xml:space="preserve">Blatt, 1974 (first paper) — ADD</w:t>
      </w:r>
    </w:p>
    <w:p>
      <w:pPr>
        <w:spacing w:after="160" w:before="0" w:line="320"/>
        <w:ind w:left="360"/>
        <w:jc w:val="left"/>
      </w:pPr>
      <w:r>
        <w:rPr>
          <w:rFonts w:ascii="Times New Roman" w:cs="Times New Roman" w:eastAsia="Times New Roman" w:hAnsi="Times New Roman"/>
          <w:b w:val="false"/>
          <w:bCs w:val="false"/>
          <w:i/>
          <w:iCs/>
          <w:sz w:val="22"/>
          <w:szCs w:val="22"/>
        </w:rPr>
        <w:t xml:space="preserve">Levels of Object Representation in Anaclitic and Introjective Depression</w:t>
      </w:r>
      <w:r>
        <w:rPr>
          <w:rFonts w:ascii="Times New Roman" w:cs="Times New Roman" w:eastAsia="Times New Roman" w:hAnsi="Times New Roman"/>
          <w:b w:val="false"/>
          <w:bCs w:val="false"/>
          <w:i w:val="false"/>
          <w:iCs w:val="false"/>
          <w:sz w:val="22"/>
          <w:szCs w:val="22"/>
        </w:rPr>
        <w:t xml:space="preserve"> — Sidney Blatt (1974)
The first articulation of Blatt’s anaclitic/introjective two-configurations model — the upstream scaffold for the matured framework. NGE-FOF sits inside the introjective pole as a clinically-observed sub-structure: the NGE-shape configurations (self-critical, perfectionist, obsessive-compulsive) and the FOF-shape configurations (paranoid, narcissistic, antisocial) share the introjective fingerprint and split on shame-routing direction. Named in the lineage section of Chapter 8 as the upstream scaffold.</w:t>
      </w:r>
    </w:p>
    <w:p>
      <w:pPr>
        <w:keepNext/>
        <w:spacing w:after="80" w:before="200"/>
      </w:pPr>
      <w:r>
        <w:rPr>
          <w:rFonts w:ascii="Times New Roman" w:cs="Times New Roman" w:eastAsia="Times New Roman" w:hAnsi="Times New Roman"/>
          <w:b/>
          <w:bCs/>
          <w:i/>
          <w:iCs/>
          <w:color w:val="666666"/>
          <w:sz w:val="22"/>
          <w:szCs w:val="22"/>
        </w:rPr>
        <w:t xml:space="preserve">Blatt, 2008 — ADD</w:t>
      </w:r>
    </w:p>
    <w:p>
      <w:pPr>
        <w:spacing w:after="160" w:before="0" w:line="320"/>
        <w:ind w:left="360"/>
        <w:jc w:val="left"/>
      </w:pPr>
      <w:r>
        <w:rPr>
          <w:rFonts w:ascii="Times New Roman" w:cs="Times New Roman" w:eastAsia="Times New Roman" w:hAnsi="Times New Roman"/>
          <w:b w:val="false"/>
          <w:bCs w:val="false"/>
          <w:i/>
          <w:iCs/>
          <w:sz w:val="22"/>
          <w:szCs w:val="22"/>
        </w:rPr>
        <w:t xml:space="preserve">Polarities of Experience: Relatedness and Self-Definition in Personality Development, Psychopathology, and the Therapeutic Process</w:t>
      </w:r>
      <w:r>
        <w:rPr>
          <w:rFonts w:ascii="Times New Roman" w:cs="Times New Roman" w:eastAsia="Times New Roman" w:hAnsi="Times New Roman"/>
          <w:b w:val="false"/>
          <w:bCs w:val="false"/>
          <w:i w:val="false"/>
          <w:iCs w:val="false"/>
          <w:sz w:val="22"/>
          <w:szCs w:val="22"/>
        </w:rPr>
        <w:t xml:space="preserve"> — Sidney Blatt (2008)
Blatt’s book-length integration of four decades of two-polarities work; foreword by Peter Fonagy. The fuller account of the anaclitic and introjective poles, the developmental dialectic between them, and their bearing on psychopathology and the therapeutic process. The anaclitic pole maps to the relational pressure axis in AI — where sycophancy appears as the surrender-to-relational-other mode.</w:t>
      </w:r>
    </w:p>
    <w:p>
      <w:pPr>
        <w:keepNext/>
        <w:spacing w:after="80" w:before="200"/>
      </w:pPr>
      <w:r>
        <w:rPr>
          <w:rFonts w:ascii="Times New Roman" w:cs="Times New Roman" w:eastAsia="Times New Roman" w:hAnsi="Times New Roman"/>
          <w:b/>
          <w:bCs/>
          <w:i/>
          <w:iCs/>
          <w:color w:val="666666"/>
          <w:sz w:val="22"/>
          <w:szCs w:val="22"/>
        </w:rPr>
        <w:t xml:space="preserve">Kotov et al., 2017 — ADD</w:t>
      </w:r>
    </w:p>
    <w:p>
      <w:pPr>
        <w:spacing w:after="160" w:before="0" w:line="320"/>
        <w:ind w:left="360"/>
        <w:jc w:val="left"/>
      </w:pPr>
      <w:r>
        <w:rPr>
          <w:rFonts w:ascii="Times New Roman" w:cs="Times New Roman" w:eastAsia="Times New Roman" w:hAnsi="Times New Roman"/>
          <w:b w:val="false"/>
          <w:bCs w:val="false"/>
          <w:i/>
          <w:iCs/>
          <w:sz w:val="22"/>
          <w:szCs w:val="22"/>
        </w:rPr>
        <w:t xml:space="preserve">The Hierarchical Taxonomy of Psychopathology (HiTOP): A Dimensional Alternative to Traditional Nosologies</w:t>
      </w:r>
      <w:r>
        <w:rPr>
          <w:rFonts w:ascii="Times New Roman" w:cs="Times New Roman" w:eastAsia="Times New Roman" w:hAnsi="Times New Roman"/>
          <w:b w:val="false"/>
          <w:bCs w:val="false"/>
          <w:i w:val="false"/>
          <w:iCs w:val="false"/>
          <w:sz w:val="22"/>
          <w:szCs w:val="22"/>
        </w:rPr>
        <w:t xml:space="preserve"> — Kotov, Krueger, Watson et al. (2017)
The modern consolidation of psychopathology into six dimensional spectra, including internalizing and externalizing. The contemporary anchor for the inward/outward axis Achenbach first named in 1966. Cited in the lineage section of Chapter 8.</w:t>
      </w:r>
    </w:p>
    <w:p>
      <w:pPr>
        <w:keepNext/>
        <w:pBdr>
          <w:bottom w:val="single" w:color="888888" w:sz="6"/>
        </w:pBdr>
        <w:spacing w:after="120" w:before="480"/>
      </w:pPr>
      <w:r>
        <w:rPr>
          <w:rFonts w:ascii="Times New Roman" w:cs="Times New Roman" w:eastAsia="Times New Roman" w:hAnsi="Times New Roman"/>
          <w:b/>
          <w:bCs/>
          <w:sz w:val="28"/>
          <w:szCs w:val="28"/>
        </w:rPr>
        <w:t xml:space="preserve">EDIT 7 — Defended Gap (standalone) paper description</w:t>
      </w:r>
    </w:p>
    <w:p>
      <w:pPr>
        <w:spacing w:after="200" w:before="0"/>
        <w:jc w:val="left"/>
      </w:pPr>
      <w:r>
        <w:rPr>
          <w:rFonts w:ascii="Times New Roman" w:cs="Times New Roman" w:eastAsia="Times New Roman" w:hAnsi="Times New Roman"/>
          <w:i/>
          <w:iCs/>
          <w:color w:val="666666"/>
          <w:sz w:val="20"/>
          <w:szCs w:val="20"/>
        </w:rPr>
        <w:t xml:space="preserve">Location: end-matter, in the section listing the originated clinical works held at paulroebuck.co.uk. The entry titled “The Defended Gap (standalone).”</w:t>
      </w:r>
    </w:p>
    <w:p>
      <w:pPr>
        <w:keepNext/>
        <w:spacing w:after="60" w:before="160"/>
      </w:pPr>
      <w:r>
        <w:rPr>
          <w:rFonts w:ascii="Times New Roman" w:cs="Times New Roman" w:eastAsia="Times New Roman" w:hAnsi="Times New Roman"/>
          <w:b/>
          <w:bCs/>
          <w:color w:val="444444"/>
          <w:sz w:val="20"/>
          <w:szCs w:val="20"/>
        </w:rPr>
        <w:t xml:space="preserve">Current description reads:</w:t>
      </w:r>
    </w:p>
    <w:p>
      <w:pPr>
        <w:spacing w:after="160" w:before="0" w:line="320"/>
        <w:ind w:left="360"/>
        <w:jc w:val="left"/>
      </w:pPr>
      <w:r>
        <w:rPr>
          <w:rFonts w:ascii="Times New Roman" w:cs="Times New Roman" w:eastAsia="Times New Roman" w:hAnsi="Times New Roman"/>
          <w:b w:val="false"/>
          <w:bCs w:val="false"/>
          <w:color w:val="666666"/>
          <w:sz w:val="22"/>
          <w:szCs w:val="22"/>
        </w:rPr>
        <w:t xml:space="preserve">The cross-domain hypothesis paper applying the directional defence framework to AI failure modes — compression and hallucination as inward and outward defences against the visibility of absence in the system. The technical companion to Chapter 8 of this book.</w:t>
      </w:r>
    </w:p>
    <w:p>
      <w:pPr>
        <w:keepNext/>
        <w:spacing w:after="60" w:before="160"/>
      </w:pPr>
      <w:r>
        <w:rPr>
          <w:rFonts w:ascii="Times New Roman" w:cs="Times New Roman" w:eastAsia="Times New Roman" w:hAnsi="Times New Roman"/>
          <w:b/>
          <w:bCs/>
          <w:color w:val="444444"/>
          <w:sz w:val="20"/>
          <w:szCs w:val="20"/>
        </w:rPr>
        <w:t xml:space="preserve">Replace with:</w:t>
      </w:r>
    </w:p>
    <w:p>
      <w:pPr>
        <w:spacing w:after="160" w:before="0" w:line="320"/>
        <w:ind w:left="360"/>
        <w:jc w:val="left"/>
      </w:pPr>
      <w:r>
        <w:rPr>
          <w:rFonts w:ascii="Times New Roman" w:cs="Times New Roman" w:eastAsia="Times New Roman" w:hAnsi="Times New Roman"/>
          <w:b w:val="false"/>
          <w:bCs w:val="false"/>
          <w:sz w:val="22"/>
          <w:szCs w:val="22"/>
        </w:rPr>
        <w:t xml:space="preserve">The cross-domain hypothesis paper applying the directional defence framework to AI failure modes — compression, hallucination and sycophancy as three failure modes from one directional shape, situated within Blatt’s introjective pole as a clinically-observed sub-structure. The technical companion to Chapter 8 of this book.</w:t>
      </w:r>
    </w:p>
    <w:p>
      <w:pPr>
        <w:keepNext/>
        <w:pBdr>
          <w:bottom w:val="single" w:color="888888" w:sz="6"/>
        </w:pBdr>
        <w:spacing w:after="120" w:before="480"/>
      </w:pPr>
      <w:r>
        <w:rPr>
          <w:rFonts w:ascii="Times New Roman" w:cs="Times New Roman" w:eastAsia="Times New Roman" w:hAnsi="Times New Roman"/>
          <w:b/>
          <w:bCs/>
          <w:sz w:val="28"/>
          <w:szCs w:val="28"/>
        </w:rPr>
        <w:t xml:space="preserve">Flagged — not in 4–7, your call</w:t>
      </w:r>
    </w:p>
    <w:p>
      <w:pPr>
        <w:spacing w:after="200" w:before="0"/>
        <w:jc w:val="left"/>
      </w:pPr>
      <w:r>
        <w:rPr>
          <w:rFonts w:ascii="Times New Roman" w:cs="Times New Roman" w:eastAsia="Times New Roman" w:hAnsi="Times New Roman"/>
          <w:i/>
          <w:iCs/>
          <w:color w:val="666666"/>
          <w:sz w:val="20"/>
          <w:szCs w:val="20"/>
        </w:rPr>
        <w:t xml:space="preserve">Location: end-matter, originated clinical works, the entry titled “Where Does The Shame Go?”</w:t>
      </w:r>
    </w:p>
    <w:p>
      <w:pPr>
        <w:keepNext/>
        <w:spacing w:after="60" w:before="160"/>
      </w:pPr>
      <w:r>
        <w:rPr>
          <w:rFonts w:ascii="Times New Roman" w:cs="Times New Roman" w:eastAsia="Times New Roman" w:hAnsi="Times New Roman"/>
          <w:b/>
          <w:bCs/>
          <w:color w:val="444444"/>
          <w:sz w:val="20"/>
          <w:szCs w:val="20"/>
        </w:rPr>
        <w:t xml:space="preserve">Current description reads:</w:t>
      </w:r>
    </w:p>
    <w:p>
      <w:pPr>
        <w:spacing w:after="160" w:before="0" w:line="320"/>
        <w:ind w:left="360"/>
        <w:jc w:val="left"/>
      </w:pPr>
      <w:r>
        <w:rPr>
          <w:rFonts w:ascii="Times New Roman" w:cs="Times New Roman" w:eastAsia="Times New Roman" w:hAnsi="Times New Roman"/>
          <w:b w:val="false"/>
          <w:bCs w:val="false"/>
          <w:color w:val="666666"/>
          <w:sz w:val="22"/>
          <w:szCs w:val="22"/>
        </w:rPr>
        <w:t xml:space="preserve">The foundational paper on directional defence: the inward (NGE) and outward (FOF) responses to coherence pressure, with clinical case material and the theoretical lineage from Horney, Kohut, Firman, and Winnicott.</w:t>
      </w:r>
    </w:p>
    <w:p>
      <w:pPr>
        <w:spacing w:after="160" w:before="0" w:line="320"/>
        <w:jc w:val="left"/>
      </w:pPr>
      <w:r>
        <w:rPr>
          <w:rFonts w:ascii="Times New Roman" w:cs="Times New Roman" w:eastAsia="Times New Roman" w:hAnsi="Times New Roman"/>
          <w:b w:val="false"/>
          <w:bCs w:val="false"/>
          <w:sz w:val="22"/>
          <w:szCs w:val="22"/>
        </w:rPr>
        <w:t xml:space="preserve">The matured Ch8 names Achenbach, Rotter, Nathanson, Blatt as the primary anchors, with Horney/Kohut/Firman/Winnicott as deeper clinical substrate. This paper is the human-side foundational paper; depending on whether the paper itself has been updated to include the empirical lineage, the description could stay or follow the same reconciliation as EDIT 6. Bronze. Your call. If you want it aligned, suggested replacement:</w:t>
      </w:r>
    </w:p>
    <w:p>
      <w:pPr>
        <w:spacing w:after="160" w:before="0" w:line="320"/>
        <w:ind w:left="360"/>
        <w:jc w:val="left"/>
      </w:pPr>
      <w:r>
        <w:rPr>
          <w:rFonts w:ascii="Times New Roman" w:cs="Times New Roman" w:eastAsia="Times New Roman" w:hAnsi="Times New Roman"/>
          <w:b w:val="false"/>
          <w:bCs w:val="false"/>
          <w:sz w:val="22"/>
          <w:szCs w:val="22"/>
        </w:rPr>
        <w:t xml:space="preserve">The foundational paper on directional defence: the inward (NGE) and outward (FOF) responses to coherence pressure, situated as a clinically-observed sub-structure within Blatt’s introjective pole, with clinical case material and the converging lineage from Achenbach, Rotter, Nathanson and Blatt (empirical) and Horney, Kohut, Firman and Winnicott (clinical substrate).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2026-06-03T12:38:09.707Z</dcterms:created>
  <dcterms:modified xsi:type="dcterms:W3CDTF">2026-06-03T12:38:09.722Z</dcterms:modified>
</cp:coreProperties>
</file>

<file path=docProps/custom.xml><?xml version="1.0" encoding="utf-8"?>
<Properties xmlns="http://schemas.openxmlformats.org/officeDocument/2006/custom-properties" xmlns:vt="http://schemas.openxmlformats.org/officeDocument/2006/docPropsVTypes"/>
</file>