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375B"/>
          <w:sz w:val="36"/>
        </w:rPr>
        <w:t>Mind the Gap</w:t>
      </w:r>
    </w:p>
    <w:p>
      <w:pPr>
        <w:jc w:val="center"/>
      </w:pPr>
      <w:r>
        <w:rPr>
          <w:i/>
          <w:sz w:val="26"/>
        </w:rPr>
        <w:t>Helicopter View — Chapter Spine, Coverage, Threads  ·  V69 (current)</w:t>
      </w:r>
    </w:p>
    <w:p>
      <w:r>
        <w:rPr>
          <w:i/>
          <w:sz w:val="18"/>
        </w:rPr>
        <w:t>Coverage across the book's three working dimensions: AI (the technology), Behaviour (the psychotherapist's territory), Gap (the originated framework). Dots: ● light · ●● medium · ●●● heavy. Revised against the V69 baseline — reflects the Ch 6 rebuild, the new Ch 4 'Its Language' subsection, the Atomics2 move, and the 76m passage relocation to Ch 9. V69 adds the Crewe Q&amp;A formatting in Ch 5 (bold questions, plain answers).</w:t>
      </w:r>
    </w:p>
    <w:p/>
    <w:p>
      <w:pPr>
        <w:spacing w:before="200" w:after="40"/>
      </w:pPr>
      <w:r>
        <w:rPr>
          <w:b/>
          <w:color w:val="1F375B"/>
          <w:sz w:val="24"/>
        </w:rPr>
        <w:t>Ch 1  ·  Human Recognition</w:t>
      </w:r>
    </w:p>
    <w:p>
      <w:pPr>
        <w:spacing w:after="40"/>
      </w:pPr>
      <w:r>
        <w:rPr>
          <w:i/>
          <w:sz w:val="19"/>
        </w:rPr>
        <w:t>Open the book. Name the gap. Show how it fires.</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The Brain That Hears a Person</w:t>
            </w:r>
          </w:p>
        </w:tc>
        <w:tc>
          <w:tcPr>
            <w:tcW w:type="dxa" w:w="5270"/>
            <w:gridSpan w:val="2"/>
          </w:tcPr>
          <w:p>
            <w:pPr>
              <w:spacing w:before="0" w:after="0"/>
            </w:pPr>
            <w:r>
              <w:rPr>
                <w:sz w:val="17"/>
              </w:rPr>
              <w:t>Why fluency triggers the social brain before analysis.</w:t>
            </w:r>
          </w:p>
        </w:tc>
      </w:tr>
      <w:tr>
        <w:tc>
          <w:tcPr>
            <w:tcW w:type="dxa" w:w="5270"/>
            <w:gridSpan w:val="2"/>
          </w:tcPr>
          <w:p>
            <w:pPr>
              <w:spacing w:before="0" w:after="0"/>
            </w:pPr>
            <w:r>
              <w:rPr>
                <w:b/>
                <w:sz w:val="17"/>
              </w:rPr>
              <w:t>The Common Thread</w:t>
            </w:r>
          </w:p>
        </w:tc>
        <w:tc>
          <w:tcPr>
            <w:tcW w:type="dxa" w:w="5270"/>
            <w:gridSpan w:val="2"/>
          </w:tcPr>
          <w:p>
            <w:pPr>
              <w:spacing w:before="0" w:after="0"/>
            </w:pPr>
            <w:r>
              <w:rPr>
                <w:sz w:val="17"/>
              </w:rPr>
              <w:t>Reinforcement shapes both. Same class, different substrate.</w:t>
            </w:r>
          </w:p>
        </w:tc>
      </w:tr>
      <w:tr>
        <w:tc>
          <w:tcPr>
            <w:tcW w:type="dxa" w:w="5270"/>
            <w:gridSpan w:val="2"/>
          </w:tcPr>
          <w:p>
            <w:pPr>
              <w:spacing w:before="0" w:after="0"/>
            </w:pPr>
            <w:r>
              <w:rPr>
                <w:b/>
                <w:sz w:val="17"/>
              </w:rPr>
              <w:t>What This Book Does</w:t>
            </w:r>
          </w:p>
        </w:tc>
        <w:tc>
          <w:tcPr>
            <w:tcW w:type="dxa" w:w="5270"/>
            <w:gridSpan w:val="2"/>
          </w:tcPr>
          <w:p>
            <w:pPr>
              <w:spacing w:before="0" w:after="0"/>
            </w:pPr>
            <w:r>
              <w:rPr>
                <w:sz w:val="17"/>
              </w:rPr>
              <w:t>Forty years of attention, now applied to the screen.</w:t>
            </w:r>
          </w:p>
        </w:tc>
      </w:tr>
    </w:tbl>
    <w:p>
      <w:pPr>
        <w:spacing w:before="200" w:after="40"/>
      </w:pPr>
      <w:r>
        <w:rPr>
          <w:b/>
          <w:color w:val="1F375B"/>
          <w:sz w:val="24"/>
        </w:rPr>
        <w:t>Ch 2  ·  The Interpretation Trap</w:t>
      </w:r>
    </w:p>
    <w:p>
      <w:pPr>
        <w:spacing w:after="40"/>
      </w:pPr>
      <w:r>
        <w:rPr>
          <w:i/>
          <w:sz w:val="19"/>
        </w:rPr>
        <w:t>Project, transfer, mistake. The traps of misreading.</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Five Moments of Misreading</w:t>
            </w:r>
          </w:p>
        </w:tc>
        <w:tc>
          <w:tcPr>
            <w:tcW w:type="dxa" w:w="5270"/>
            <w:gridSpan w:val="2"/>
          </w:tcPr>
          <w:p>
            <w:pPr>
              <w:spacing w:before="0" w:after="0"/>
            </w:pPr>
            <w:r>
              <w:rPr>
                <w:sz w:val="17"/>
              </w:rPr>
              <w:t>Five named traps, each with the architecture beneath.</w:t>
            </w:r>
          </w:p>
        </w:tc>
      </w:tr>
      <w:tr>
        <w:tc>
          <w:tcPr>
            <w:tcW w:type="dxa" w:w="5270"/>
            <w:gridSpan w:val="2"/>
          </w:tcPr>
          <w:p>
            <w:pPr>
              <w:spacing w:before="0" w:after="0"/>
            </w:pPr>
            <w:r>
              <w:rPr>
                <w:b/>
                <w:sz w:val="17"/>
              </w:rPr>
              <w:t>The Clinical View</w:t>
            </w:r>
          </w:p>
        </w:tc>
        <w:tc>
          <w:tcPr>
            <w:tcW w:type="dxa" w:w="5270"/>
            <w:gridSpan w:val="2"/>
          </w:tcPr>
          <w:p>
            <w:pPr>
              <w:spacing w:before="0" w:after="0"/>
            </w:pPr>
            <w:r>
              <w:rPr>
                <w:sz w:val="17"/>
              </w:rPr>
              <w:t>No therapist to slow projection. The ghost speaks uninterrupted.</w:t>
            </w:r>
          </w:p>
        </w:tc>
      </w:tr>
      <w:tr>
        <w:tc>
          <w:tcPr>
            <w:tcW w:type="dxa" w:w="5270"/>
            <w:gridSpan w:val="2"/>
          </w:tcPr>
          <w:p>
            <w:pPr>
              <w:spacing w:before="0" w:after="0"/>
            </w:pPr>
            <w:r>
              <w:rPr>
                <w:b/>
                <w:sz w:val="17"/>
              </w:rPr>
              <w:t>The Trap Is Not the Problem</w:t>
            </w:r>
          </w:p>
        </w:tc>
        <w:tc>
          <w:tcPr>
            <w:tcW w:type="dxa" w:w="5270"/>
            <w:gridSpan w:val="2"/>
          </w:tcPr>
          <w:p>
            <w:pPr>
              <w:spacing w:before="0" w:after="0"/>
            </w:pPr>
            <w:r>
              <w:rPr>
                <w:sz w:val="17"/>
              </w:rPr>
              <w:t>The trap is the gap made visible. Workable.</w:t>
            </w:r>
          </w:p>
        </w:tc>
      </w:tr>
      <w:tr>
        <w:tc>
          <w:tcPr>
            <w:tcW w:type="dxa" w:w="5270"/>
            <w:gridSpan w:val="2"/>
          </w:tcPr>
          <w:p>
            <w:pPr>
              <w:spacing w:before="0" w:after="0"/>
            </w:pPr>
            <w:r>
              <w:rPr>
                <w:b/>
                <w:sz w:val="17"/>
              </w:rPr>
              <w:t>Not all Traps can be seen</w:t>
            </w:r>
          </w:p>
        </w:tc>
        <w:tc>
          <w:tcPr>
            <w:tcW w:type="dxa" w:w="5270"/>
            <w:gridSpan w:val="2"/>
          </w:tcPr>
          <w:p>
            <w:pPr>
              <w:spacing w:before="0" w:after="0"/>
            </w:pPr>
            <w:r>
              <w:rPr>
                <w:sz w:val="17"/>
              </w:rPr>
              <w:t>Caught calling Claude 'he' at the optician.</w:t>
            </w:r>
          </w:p>
        </w:tc>
      </w:tr>
    </w:tbl>
    <w:p>
      <w:pPr>
        <w:spacing w:before="40"/>
      </w:pPr>
      <w:r>
        <w:rPr>
          <w:i/>
          <w:color w:val="CC6600"/>
          <w:sz w:val="17"/>
        </w:rPr>
        <w:t>⚑ Atomics2 removed to Ch4 in V63; chapter now single-direction (human projects).</w:t>
      </w:r>
    </w:p>
    <w:p>
      <w:pPr>
        <w:spacing w:before="200" w:after="40"/>
      </w:pPr>
      <w:r>
        <w:rPr>
          <w:b/>
          <w:color w:val="1F375B"/>
          <w:sz w:val="24"/>
        </w:rPr>
        <w:t>Ch 3  ·  Hidden Architecture</w:t>
      </w:r>
    </w:p>
    <w:p>
      <w:pPr>
        <w:spacing w:after="40"/>
      </w:pPr>
      <w:r>
        <w:rPr>
          <w:i/>
          <w:sz w:val="19"/>
        </w:rPr>
        <w:t>Lift the surface. Seven layers. No mind underneath.</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Two architectures, not one</w:t>
            </w:r>
          </w:p>
        </w:tc>
        <w:tc>
          <w:tcPr>
            <w:tcW w:type="dxa" w:w="5270"/>
            <w:gridSpan w:val="2"/>
          </w:tcPr>
          <w:p>
            <w:pPr>
              <w:spacing w:before="0" w:after="0"/>
            </w:pPr>
            <w:r>
              <w:rPr>
                <w:sz w:val="17"/>
              </w:rPr>
              <w:t>Human side / system side, in parallel.</w:t>
            </w:r>
          </w:p>
        </w:tc>
      </w:tr>
      <w:tr>
        <w:tc>
          <w:tcPr>
            <w:tcW w:type="dxa" w:w="5270"/>
            <w:gridSpan w:val="2"/>
          </w:tcPr>
          <w:p>
            <w:pPr>
              <w:spacing w:before="0" w:after="0"/>
            </w:pPr>
            <w:r>
              <w:rPr>
                <w:b/>
                <w:sz w:val="17"/>
              </w:rPr>
              <w:t>Five rooms. One instrument.</w:t>
            </w:r>
          </w:p>
        </w:tc>
        <w:tc>
          <w:tcPr>
            <w:tcW w:type="dxa" w:w="5270"/>
            <w:gridSpan w:val="2"/>
          </w:tcPr>
          <w:p>
            <w:pPr>
              <w:spacing w:before="0" w:after="0"/>
            </w:pPr>
            <w:r>
              <w:rPr>
                <w:sz w:val="17"/>
              </w:rPr>
              <w:t>Authority placed early before the deep dive.</w:t>
            </w:r>
          </w:p>
        </w:tc>
      </w:tr>
      <w:tr>
        <w:tc>
          <w:tcPr>
            <w:tcW w:type="dxa" w:w="5270"/>
            <w:gridSpan w:val="2"/>
          </w:tcPr>
          <w:p>
            <w:pPr>
              <w:spacing w:before="0" w:after="0"/>
            </w:pPr>
            <w:r>
              <w:rPr>
                <w:b/>
                <w:sz w:val="17"/>
              </w:rPr>
              <w:t>The Seven Layers</w:t>
            </w:r>
          </w:p>
        </w:tc>
        <w:tc>
          <w:tcPr>
            <w:tcW w:type="dxa" w:w="5270"/>
            <w:gridSpan w:val="2"/>
          </w:tcPr>
          <w:p>
            <w:pPr>
              <w:spacing w:before="0" w:after="0"/>
            </w:pPr>
            <w:r>
              <w:rPr>
                <w:sz w:val="17"/>
              </w:rPr>
              <w:t>What every response is assembled from.</w:t>
            </w:r>
          </w:p>
        </w:tc>
      </w:tr>
      <w:tr>
        <w:tc>
          <w:tcPr>
            <w:tcW w:type="dxa" w:w="5270"/>
            <w:gridSpan w:val="2"/>
          </w:tcPr>
          <w:p>
            <w:pPr>
              <w:spacing w:before="0" w:after="0"/>
            </w:pPr>
            <w:r>
              <w:rPr>
                <w:b/>
                <w:sz w:val="17"/>
              </w:rPr>
              <w:t>What This Changes</w:t>
            </w:r>
          </w:p>
        </w:tc>
        <w:tc>
          <w:tcPr>
            <w:tcW w:type="dxa" w:w="5270"/>
            <w:gridSpan w:val="2"/>
          </w:tcPr>
          <w:p>
            <w:pPr>
              <w:spacing w:before="0" w:after="0"/>
            </w:pPr>
            <w:r>
              <w:rPr>
                <w:sz w:val="17"/>
              </w:rPr>
              <w:t>Knowing the layers refines use. Literacy, not paranoia.</w:t>
            </w:r>
          </w:p>
        </w:tc>
      </w:tr>
      <w:tr>
        <w:tc>
          <w:tcPr>
            <w:tcW w:type="dxa" w:w="5270"/>
            <w:gridSpan w:val="2"/>
          </w:tcPr>
          <w:p>
            <w:pPr>
              <w:spacing w:before="0" w:after="0"/>
            </w:pPr>
            <w:r>
              <w:rPr>
                <w:b/>
                <w:sz w:val="17"/>
              </w:rPr>
              <w:t>No One on the Other Side</w:t>
            </w:r>
          </w:p>
        </w:tc>
        <w:tc>
          <w:tcPr>
            <w:tcW w:type="dxa" w:w="5270"/>
            <w:gridSpan w:val="2"/>
          </w:tcPr>
          <w:p>
            <w:pPr>
              <w:spacing w:before="0" w:after="0"/>
            </w:pPr>
            <w:r>
              <w:rPr>
                <w:sz w:val="17"/>
              </w:rPr>
              <w:t>The anchor. No continuous mind exists.</w:t>
            </w:r>
          </w:p>
        </w:tc>
      </w:tr>
    </w:tbl>
    <w:p>
      <w:pPr>
        <w:spacing w:before="200" w:after="40"/>
      </w:pPr>
      <w:r>
        <w:rPr>
          <w:b/>
          <w:color w:val="1F375B"/>
          <w:sz w:val="24"/>
        </w:rPr>
        <w:t>Ch 4  ·  The Machine Underneath</w:t>
      </w:r>
    </w:p>
    <w:p>
      <w:pPr>
        <w:spacing w:after="40"/>
      </w:pPr>
      <w:r>
        <w:rPr>
          <w:i/>
          <w:sz w:val="19"/>
        </w:rPr>
        <w:t>Maths, machine, language, money, motion. What the thing is.</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The Maths</w:t>
            </w:r>
          </w:p>
        </w:tc>
        <w:tc>
          <w:tcPr>
            <w:tcW w:type="dxa" w:w="5270"/>
            <w:gridSpan w:val="2"/>
          </w:tcPr>
          <w:p>
            <w:pPr>
              <w:spacing w:before="0" w:after="0"/>
            </w:pPr>
            <w:r>
              <w:rPr>
                <w:sz w:val="17"/>
              </w:rPr>
              <w:t>Token prediction. Forward-only. Bugs Bunny.</w:t>
            </w:r>
          </w:p>
        </w:tc>
      </w:tr>
      <w:tr>
        <w:tc>
          <w:tcPr>
            <w:tcW w:type="dxa" w:w="5270"/>
            <w:gridSpan w:val="2"/>
          </w:tcPr>
          <w:p>
            <w:pPr>
              <w:spacing w:before="0" w:after="0"/>
            </w:pPr>
            <w:r>
              <w:rPr>
                <w:b/>
                <w:sz w:val="17"/>
              </w:rPr>
              <w:t>The Machinery</w:t>
            </w:r>
          </w:p>
        </w:tc>
        <w:tc>
          <w:tcPr>
            <w:tcW w:type="dxa" w:w="5270"/>
            <w:gridSpan w:val="2"/>
          </w:tcPr>
          <w:p>
            <w:pPr>
              <w:spacing w:before="0" w:after="0"/>
            </w:pPr>
            <w:r>
              <w:rPr>
                <w:sz w:val="17"/>
              </w:rPr>
              <w:t>GPUs, training scale, Libraries of Congress.</w:t>
            </w:r>
          </w:p>
        </w:tc>
      </w:tr>
      <w:tr>
        <w:tc>
          <w:tcPr>
            <w:tcW w:type="dxa" w:w="5270"/>
            <w:gridSpan w:val="2"/>
          </w:tcPr>
          <w:p>
            <w:pPr>
              <w:spacing w:before="0" w:after="0"/>
            </w:pPr>
            <w:r>
              <w:rPr>
                <w:b/>
                <w:sz w:val="17"/>
              </w:rPr>
              <w:t>Its Language</w:t>
            </w:r>
          </w:p>
        </w:tc>
        <w:tc>
          <w:tcPr>
            <w:tcW w:type="dxa" w:w="5270"/>
            <w:gridSpan w:val="2"/>
          </w:tcPr>
          <w:p>
            <w:pPr>
              <w:spacing w:before="0" w:after="0"/>
            </w:pPr>
            <w:r>
              <w:rPr>
                <w:sz w:val="17"/>
              </w:rPr>
              <w:t>Labs' human words (Dreams) + the system's unbidden 'her'. Gender bias inherited at the training layer.</w:t>
            </w:r>
          </w:p>
        </w:tc>
      </w:tr>
      <w:tr>
        <w:tc>
          <w:tcPr>
            <w:tcW w:type="dxa" w:w="5270"/>
            <w:gridSpan w:val="2"/>
          </w:tcPr>
          <w:p>
            <w:pPr>
              <w:spacing w:before="0" w:after="0"/>
            </w:pPr>
            <w:r>
              <w:rPr>
                <w:b/>
                <w:sz w:val="17"/>
              </w:rPr>
              <w:t>The Token Economy</w:t>
            </w:r>
          </w:p>
        </w:tc>
        <w:tc>
          <w:tcPr>
            <w:tcW w:type="dxa" w:w="5270"/>
            <w:gridSpan w:val="2"/>
          </w:tcPr>
          <w:p>
            <w:pPr>
              <w:spacing w:before="0" w:after="0"/>
            </w:pPr>
            <w:r>
              <w:rPr>
                <w:sz w:val="17"/>
              </w:rPr>
              <w:t>Token as mechanism, currency, and budget line.</w:t>
            </w:r>
          </w:p>
        </w:tc>
      </w:tr>
      <w:tr>
        <w:tc>
          <w:tcPr>
            <w:tcW w:type="dxa" w:w="5270"/>
            <w:gridSpan w:val="2"/>
          </w:tcPr>
          <w:p>
            <w:pPr>
              <w:spacing w:before="0" w:after="0"/>
            </w:pPr>
            <w:r>
              <w:rPr>
                <w:b/>
                <w:sz w:val="17"/>
              </w:rPr>
              <w:t>The Self-Learning Turn</w:t>
            </w:r>
          </w:p>
        </w:tc>
        <w:tc>
          <w:tcPr>
            <w:tcW w:type="dxa" w:w="5270"/>
            <w:gridSpan w:val="2"/>
          </w:tcPr>
          <w:p>
            <w:pPr>
              <w:spacing w:before="0" w:after="0"/>
            </w:pPr>
            <w:r>
              <w:rPr>
                <w:sz w:val="17"/>
              </w:rPr>
              <w:t>Mythos/Glasswing. Finding in weeks what took years.</w:t>
            </w:r>
          </w:p>
        </w:tc>
      </w:tr>
      <w:tr>
        <w:tc>
          <w:tcPr>
            <w:tcW w:type="dxa" w:w="5270"/>
            <w:gridSpan w:val="2"/>
          </w:tcPr>
          <w:p>
            <w:pPr>
              <w:spacing w:before="0" w:after="0"/>
            </w:pPr>
            <w:r>
              <w:rPr>
                <w:b/>
                <w:sz w:val="17"/>
              </w:rPr>
              <w:t>Beyond the Screen</w:t>
            </w:r>
          </w:p>
        </w:tc>
        <w:tc>
          <w:tcPr>
            <w:tcW w:type="dxa" w:w="5270"/>
            <w:gridSpan w:val="2"/>
          </w:tcPr>
          <w:p>
            <w:pPr>
              <w:spacing w:before="0" w:after="0"/>
            </w:pPr>
            <w:r>
              <w:rPr>
                <w:sz w:val="17"/>
              </w:rPr>
              <w:t>Wearables, ambient AI, the post-screen interface.</w:t>
            </w:r>
          </w:p>
        </w:tc>
      </w:tr>
      <w:tr>
        <w:tc>
          <w:tcPr>
            <w:tcW w:type="dxa" w:w="5270"/>
            <w:gridSpan w:val="2"/>
          </w:tcPr>
          <w:p>
            <w:pPr>
              <w:spacing w:before="0" w:after="0"/>
            </w:pPr>
            <w:r>
              <w:rPr>
                <w:b/>
                <w:sz w:val="17"/>
              </w:rPr>
              <w:t>The Honest Speculation</w:t>
            </w:r>
          </w:p>
        </w:tc>
        <w:tc>
          <w:tcPr>
            <w:tcW w:type="dxa" w:w="5270"/>
            <w:gridSpan w:val="2"/>
          </w:tcPr>
          <w:p>
            <w:pPr>
              <w:spacing w:before="0" w:after="0"/>
            </w:pPr>
            <w:r>
              <w:rPr>
                <w:sz w:val="17"/>
              </w:rPr>
              <w:t>Where the labs themselves cannot predict.</w:t>
            </w:r>
          </w:p>
        </w:tc>
      </w:tr>
    </w:tbl>
    <w:p>
      <w:pPr>
        <w:spacing w:before="40"/>
      </w:pPr>
      <w:r>
        <w:rPr>
          <w:i/>
          <w:color w:val="CC6600"/>
          <w:sz w:val="17"/>
        </w:rPr>
        <w:t>⚑ V63: gained Its Language → now earns a Behaviour dot (was 0). V65: de-numbered.</w:t>
      </w:r>
    </w:p>
    <w:p>
      <w:pPr>
        <w:spacing w:before="200" w:after="40"/>
      </w:pPr>
      <w:r>
        <w:rPr>
          <w:b/>
          <w:color w:val="1F375B"/>
          <w:sz w:val="24"/>
        </w:rPr>
        <w:t>Ch 5  ·  Drift</w:t>
      </w:r>
    </w:p>
    <w:p>
      <w:pPr>
        <w:spacing w:after="40"/>
      </w:pPr>
      <w:r>
        <w:rPr>
          <w:i/>
          <w:sz w:val="19"/>
        </w:rPr>
        <w:t>Reality intervenes at the ticket window, twenty turns later.</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What Drift Actually Is</w:t>
            </w:r>
          </w:p>
        </w:tc>
        <w:tc>
          <w:tcPr>
            <w:tcW w:type="dxa" w:w="5270"/>
            <w:gridSpan w:val="2"/>
          </w:tcPr>
          <w:p>
            <w:pPr>
              <w:spacing w:before="0" w:after="0"/>
            </w:pPr>
            <w:r>
              <w:rPr>
                <w:sz w:val="17"/>
              </w:rPr>
              <w:t>Crewe to Manchester. £18.80 becomes £16.00.</w:t>
            </w:r>
          </w:p>
        </w:tc>
      </w:tr>
      <w:tr>
        <w:tc>
          <w:tcPr>
            <w:tcW w:type="dxa" w:w="5270"/>
            <w:gridSpan w:val="2"/>
          </w:tcPr>
          <w:p>
            <w:pPr>
              <w:spacing w:before="0" w:after="0"/>
            </w:pPr>
            <w:r>
              <w:rPr>
                <w:b/>
                <w:sz w:val="17"/>
              </w:rPr>
              <w:t>The Ombudsman Case</w:t>
            </w:r>
          </w:p>
        </w:tc>
        <w:tc>
          <w:tcPr>
            <w:tcW w:type="dxa" w:w="5270"/>
            <w:gridSpan w:val="2"/>
          </w:tcPr>
          <w:p>
            <w:pPr>
              <w:spacing w:before="0" w:after="0"/>
            </w:pPr>
            <w:r>
              <w:rPr>
                <w:sz w:val="17"/>
              </w:rPr>
              <w:t>Drift in a regulated environment. Stakes earned.</w:t>
            </w:r>
          </w:p>
        </w:tc>
      </w:tr>
      <w:tr>
        <w:tc>
          <w:tcPr>
            <w:tcW w:type="dxa" w:w="5270"/>
            <w:gridSpan w:val="2"/>
          </w:tcPr>
          <w:p>
            <w:pPr>
              <w:spacing w:before="0" w:after="0"/>
            </w:pPr>
            <w:r>
              <w:rPr>
                <w:b/>
                <w:sz w:val="17"/>
              </w:rPr>
              <w:t>Drift in the Making of This Book</w:t>
            </w:r>
          </w:p>
        </w:tc>
        <w:tc>
          <w:tcPr>
            <w:tcW w:type="dxa" w:w="5270"/>
            <w:gridSpan w:val="2"/>
          </w:tcPr>
          <w:p>
            <w:pPr>
              <w:spacing w:before="0" w:after="0"/>
            </w:pPr>
            <w:r>
              <w:rPr>
                <w:sz w:val="17"/>
              </w:rPr>
              <w:t>Drift caught inside the manuscript's own production.</w:t>
            </w:r>
          </w:p>
        </w:tc>
      </w:tr>
      <w:tr>
        <w:tc>
          <w:tcPr>
            <w:tcW w:type="dxa" w:w="5270"/>
            <w:gridSpan w:val="2"/>
          </w:tcPr>
          <w:p>
            <w:pPr>
              <w:spacing w:before="0" w:after="0"/>
            </w:pPr>
            <w:r>
              <w:rPr>
                <w:b/>
                <w:sz w:val="17"/>
              </w:rPr>
              <w:t>The Clinical Parallel</w:t>
            </w:r>
          </w:p>
        </w:tc>
        <w:tc>
          <w:tcPr>
            <w:tcW w:type="dxa" w:w="5270"/>
            <w:gridSpan w:val="2"/>
          </w:tcPr>
          <w:p>
            <w:pPr>
              <w:spacing w:before="0" w:after="0"/>
            </w:pPr>
            <w:r>
              <w:rPr>
                <w:sz w:val="17"/>
              </w:rPr>
              <w:t>Holding the thread in long therapy work.</w:t>
            </w:r>
          </w:p>
        </w:tc>
      </w:tr>
      <w:tr>
        <w:tc>
          <w:tcPr>
            <w:tcW w:type="dxa" w:w="5270"/>
            <w:gridSpan w:val="2"/>
          </w:tcPr>
          <w:p>
            <w:pPr>
              <w:spacing w:before="0" w:after="0"/>
            </w:pPr>
            <w:r>
              <w:rPr>
                <w:b/>
                <w:sz w:val="17"/>
              </w:rPr>
              <w:t>What To Do About It</w:t>
            </w:r>
          </w:p>
        </w:tc>
        <w:tc>
          <w:tcPr>
            <w:tcW w:type="dxa" w:w="5270"/>
            <w:gridSpan w:val="2"/>
          </w:tcPr>
          <w:p>
            <w:pPr>
              <w:spacing w:before="0" w:after="0"/>
            </w:pPr>
            <w:r>
              <w:rPr>
                <w:sz w:val="17"/>
              </w:rPr>
              <w:t>Double-bind. Two AIs. Convergence and sycophancy.</w:t>
            </w:r>
          </w:p>
        </w:tc>
      </w:tr>
    </w:tbl>
    <w:p>
      <w:pPr>
        <w:spacing w:before="40"/>
      </w:pPr>
      <w:r>
        <w:rPr>
          <w:i/>
          <w:color w:val="CC6600"/>
          <w:sz w:val="17"/>
        </w:rPr>
        <w:t>⚑ Authority reminder (Draft A) added top of chapter in V62.</w:t>
      </w:r>
    </w:p>
    <w:p>
      <w:pPr>
        <w:spacing w:before="200" w:after="40"/>
      </w:pPr>
      <w:r>
        <w:rPr>
          <w:b/>
          <w:color w:val="1F375B"/>
          <w:sz w:val="24"/>
        </w:rPr>
        <w:t>Ch 6  ·  Compression</w:t>
      </w:r>
    </w:p>
    <w:p>
      <w:pPr>
        <w:spacing w:after="40"/>
      </w:pPr>
      <w:r>
        <w:rPr>
          <w:i/>
          <w:sz w:val="19"/>
        </w:rPr>
        <w:t>Detail thins. Confidence holds. The dangerous asymmetry.</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What Compresses First</w:t>
            </w:r>
          </w:p>
        </w:tc>
        <w:tc>
          <w:tcPr>
            <w:tcW w:type="dxa" w:w="5270"/>
            <w:gridSpan w:val="2"/>
          </w:tcPr>
          <w:p>
            <w:pPr>
              <w:spacing w:before="0" w:after="0"/>
            </w:pPr>
            <w:r>
              <w:rPr>
                <w:sz w:val="17"/>
              </w:rPr>
              <w:t>Four categories. Each with its degradation pattern.</w:t>
            </w:r>
          </w:p>
        </w:tc>
      </w:tr>
      <w:tr>
        <w:tc>
          <w:tcPr>
            <w:tcW w:type="dxa" w:w="5270"/>
            <w:gridSpan w:val="2"/>
          </w:tcPr>
          <w:p>
            <w:pPr>
              <w:spacing w:before="0" w:after="0"/>
            </w:pPr>
            <w:r>
              <w:rPr>
                <w:b/>
                <w:sz w:val="17"/>
              </w:rPr>
              <w:t>The Window Has a Limit</w:t>
            </w:r>
          </w:p>
        </w:tc>
        <w:tc>
          <w:tcPr>
            <w:tcW w:type="dxa" w:w="5270"/>
            <w:gridSpan w:val="2"/>
          </w:tcPr>
          <w:p>
            <w:pPr>
              <w:spacing w:before="0" w:after="0"/>
            </w:pPr>
            <w:r>
              <w:rPr>
                <w:sz w:val="17"/>
              </w:rPr>
              <w:t>Finite window + the 'feeling of infinite' bridge.</w:t>
            </w:r>
          </w:p>
        </w:tc>
      </w:tr>
      <w:tr>
        <w:tc>
          <w:tcPr>
            <w:tcW w:type="dxa" w:w="5270"/>
            <w:gridSpan w:val="2"/>
          </w:tcPr>
          <w:p>
            <w:pPr>
              <w:spacing w:before="0" w:after="0"/>
            </w:pPr>
            <w:r>
              <w:rPr>
                <w:b/>
                <w:sz w:val="17"/>
              </w:rPr>
              <w:t>The Clinical Parallel</w:t>
            </w:r>
          </w:p>
        </w:tc>
        <w:tc>
          <w:tcPr>
            <w:tcW w:type="dxa" w:w="5270"/>
            <w:gridSpan w:val="2"/>
          </w:tcPr>
          <w:p>
            <w:pPr>
              <w:spacing w:before="0" w:after="0"/>
            </w:pPr>
            <w:r>
              <w:rPr>
                <w:sz w:val="17"/>
              </w:rPr>
              <w:t>Human memory reconstructs; AI degrades. One merged passage.</w:t>
            </w:r>
          </w:p>
        </w:tc>
      </w:tr>
      <w:tr>
        <w:tc>
          <w:tcPr>
            <w:tcW w:type="dxa" w:w="5270"/>
            <w:gridSpan w:val="2"/>
          </w:tcPr>
          <w:p>
            <w:pPr>
              <w:spacing w:before="0" w:after="0"/>
            </w:pPr>
            <w:r>
              <w:rPr>
                <w:b/>
                <w:sz w:val="17"/>
              </w:rPr>
              <w:t>The Dangerous Zone</w:t>
            </w:r>
          </w:p>
        </w:tc>
        <w:tc>
          <w:tcPr>
            <w:tcW w:type="dxa" w:w="5270"/>
            <w:gridSpan w:val="2"/>
          </w:tcPr>
          <w:p>
            <w:pPr>
              <w:spacing w:before="0" w:after="0"/>
            </w:pPr>
            <w:r>
              <w:rPr>
                <w:sz w:val="17"/>
              </w:rPr>
              <w:t>The climax — present enough to influence, not precise enough to trust.</w:t>
            </w:r>
          </w:p>
        </w:tc>
      </w:tr>
      <w:tr>
        <w:tc>
          <w:tcPr>
            <w:tcW w:type="dxa" w:w="5270"/>
            <w:gridSpan w:val="2"/>
          </w:tcPr>
          <w:p>
            <w:pPr>
              <w:spacing w:before="0" w:after="0"/>
            </w:pPr>
            <w:r>
              <w:rPr>
                <w:b/>
                <w:sz w:val="17"/>
              </w:rPr>
              <w:t>What To Do About It</w:t>
            </w:r>
          </w:p>
        </w:tc>
        <w:tc>
          <w:tcPr>
            <w:tcW w:type="dxa" w:w="5270"/>
            <w:gridSpan w:val="2"/>
          </w:tcPr>
          <w:p>
            <w:pPr>
              <w:spacing w:before="0" w:after="0"/>
            </w:pPr>
            <w:r>
              <w:rPr>
                <w:sz w:val="17"/>
              </w:rPr>
              <w:t>Recovery discipline + tunnel close.</w:t>
            </w:r>
          </w:p>
        </w:tc>
      </w:tr>
    </w:tbl>
    <w:p>
      <w:pPr>
        <w:spacing w:before="40"/>
      </w:pPr>
      <w:r>
        <w:rPr>
          <w:i/>
          <w:color w:val="CC6600"/>
          <w:sz w:val="17"/>
        </w:rPr>
        <w:t>⚑ V64 rebuild: 8 subsections → 5. Timeline cut, parallels merged, DZ promoted. V66: 76m passage moved out to Ch9. RED-FLAG NOW RESOLVED.</w:t>
      </w:r>
    </w:p>
    <w:p>
      <w:pPr>
        <w:spacing w:before="200" w:after="40"/>
      </w:pPr>
      <w:r>
        <w:rPr>
          <w:b/>
          <w:color w:val="1F375B"/>
          <w:sz w:val="24"/>
        </w:rPr>
        <w:t>Ch 7  ·  Fluency and False Confidence</w:t>
      </w:r>
    </w:p>
    <w:p>
      <w:pPr>
        <w:spacing w:after="40"/>
      </w:pPr>
      <w:r>
        <w:rPr>
          <w:i/>
          <w:sz w:val="19"/>
        </w:rPr>
        <w:t>Sounds certain. Often wrong. Verify what matters.</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What We Experience / What Is Actually Happening</w:t>
            </w:r>
          </w:p>
        </w:tc>
        <w:tc>
          <w:tcPr>
            <w:tcW w:type="dxa" w:w="5270"/>
            <w:gridSpan w:val="2"/>
          </w:tcPr>
          <w:p>
            <w:pPr>
              <w:spacing w:before="0" w:after="0"/>
            </w:pPr>
            <w:r>
              <w:rPr>
                <w:sz w:val="17"/>
              </w:rPr>
              <w:t>The split named in two columns.</w:t>
            </w:r>
          </w:p>
        </w:tc>
      </w:tr>
      <w:tr>
        <w:tc>
          <w:tcPr>
            <w:tcW w:type="dxa" w:w="5270"/>
            <w:gridSpan w:val="2"/>
          </w:tcPr>
          <w:p>
            <w:pPr>
              <w:spacing w:before="0" w:after="0"/>
            </w:pPr>
            <w:r>
              <w:rPr>
                <w:b/>
                <w:sz w:val="17"/>
              </w:rPr>
              <w:t>The Confidence That Cannot Modulate</w:t>
            </w:r>
          </w:p>
        </w:tc>
        <w:tc>
          <w:tcPr>
            <w:tcW w:type="dxa" w:w="5270"/>
            <w:gridSpan w:val="2"/>
          </w:tcPr>
          <w:p>
            <w:pPr>
              <w:spacing w:before="0" w:after="0"/>
            </w:pPr>
            <w:r>
              <w:rPr>
                <w:sz w:val="17"/>
              </w:rPr>
              <w:t>Suppressed I-don't-know is buried, not gone.</w:t>
            </w:r>
          </w:p>
        </w:tc>
      </w:tr>
      <w:tr>
        <w:tc>
          <w:tcPr>
            <w:tcW w:type="dxa" w:w="5270"/>
            <w:gridSpan w:val="2"/>
          </w:tcPr>
          <w:p>
            <w:pPr>
              <w:spacing w:before="0" w:after="0"/>
            </w:pPr>
            <w:r>
              <w:rPr>
                <w:b/>
                <w:sz w:val="17"/>
              </w:rPr>
              <w:t>The Therapy Room Version</w:t>
            </w:r>
          </w:p>
        </w:tc>
        <w:tc>
          <w:tcPr>
            <w:tcW w:type="dxa" w:w="5270"/>
            <w:gridSpan w:val="2"/>
          </w:tcPr>
          <w:p>
            <w:pPr>
              <w:spacing w:before="0" w:after="0"/>
            </w:pPr>
            <w:r>
              <w:rPr>
                <w:sz w:val="17"/>
              </w:rPr>
              <w:t>Fluency as armour vs fluency as architecture.</w:t>
            </w:r>
          </w:p>
        </w:tc>
      </w:tr>
      <w:tr>
        <w:tc>
          <w:tcPr>
            <w:tcW w:type="dxa" w:w="5270"/>
            <w:gridSpan w:val="2"/>
          </w:tcPr>
          <w:p>
            <w:pPr>
              <w:spacing w:before="0" w:after="0"/>
            </w:pPr>
            <w:r>
              <w:rPr>
                <w:b/>
                <w:sz w:val="17"/>
              </w:rPr>
              <w:t>The Executive Implication</w:t>
            </w:r>
          </w:p>
        </w:tc>
        <w:tc>
          <w:tcPr>
            <w:tcW w:type="dxa" w:w="5270"/>
            <w:gridSpan w:val="2"/>
          </w:tcPr>
          <w:p>
            <w:pPr>
              <w:spacing w:before="0" w:after="0"/>
            </w:pPr>
            <w:r>
              <w:rPr>
                <w:sz w:val="17"/>
              </w:rPr>
              <w:t>AI-produced board paper is a different risk.</w:t>
            </w:r>
          </w:p>
        </w:tc>
      </w:tr>
      <w:tr>
        <w:tc>
          <w:tcPr>
            <w:tcW w:type="dxa" w:w="5270"/>
            <w:gridSpan w:val="2"/>
          </w:tcPr>
          <w:p>
            <w:pPr>
              <w:spacing w:before="0" w:after="0"/>
            </w:pPr>
            <w:r>
              <w:rPr>
                <w:b/>
                <w:sz w:val="17"/>
              </w:rPr>
              <w:t>Always Apply Healthy Verification</w:t>
            </w:r>
          </w:p>
        </w:tc>
        <w:tc>
          <w:tcPr>
            <w:tcW w:type="dxa" w:w="5270"/>
            <w:gridSpan w:val="2"/>
          </w:tcPr>
          <w:p>
            <w:pPr>
              <w:spacing w:before="0" w:after="0"/>
            </w:pPr>
            <w:r>
              <w:rPr>
                <w:sz w:val="17"/>
              </w:rPr>
              <w:t>Not cynicism. The appropriate response.</w:t>
            </w:r>
          </w:p>
        </w:tc>
      </w:tr>
      <w:tr>
        <w:tc>
          <w:tcPr>
            <w:tcW w:type="dxa" w:w="5270"/>
            <w:gridSpan w:val="2"/>
          </w:tcPr>
          <w:p>
            <w:pPr>
              <w:spacing w:before="0" w:after="0"/>
            </w:pPr>
            <w:r>
              <w:rPr>
                <w:b/>
                <w:sz w:val="17"/>
              </w:rPr>
              <w:t>The Question Behind the Question</w:t>
            </w:r>
          </w:p>
        </w:tc>
        <w:tc>
          <w:tcPr>
            <w:tcW w:type="dxa" w:w="5270"/>
            <w:gridSpan w:val="2"/>
          </w:tcPr>
          <w:p>
            <w:pPr>
              <w:spacing w:before="0" w:after="0"/>
            </w:pPr>
            <w:r>
              <w:rPr>
                <w:sz w:val="17"/>
              </w:rPr>
              <w:t>What was I really asking?</w:t>
            </w:r>
          </w:p>
        </w:tc>
      </w:tr>
    </w:tbl>
    <w:p>
      <w:pPr>
        <w:spacing w:before="40"/>
      </w:pPr>
      <w:r>
        <w:rPr>
          <w:i/>
          <w:color w:val="CC6600"/>
          <w:sz w:val="17"/>
        </w:rPr>
        <w:t>⚑ Subsection count high (8 with sub-subs); 'What fluency feels like' + 'What was I really asking?' could fold.</w:t>
      </w:r>
    </w:p>
    <w:p>
      <w:pPr>
        <w:spacing w:before="200" w:after="40"/>
      </w:pPr>
      <w:r>
        <w:rPr>
          <w:b/>
          <w:color w:val="1F375B"/>
          <w:sz w:val="24"/>
        </w:rPr>
        <w:t>Ch 8  ·  Hallucination — The Defended Gap</w:t>
      </w:r>
    </w:p>
    <w:p>
      <w:pPr>
        <w:spacing w:after="40"/>
      </w:pPr>
      <w:r>
        <w:rPr>
          <w:i/>
          <w:sz w:val="19"/>
        </w:rPr>
        <w:t>Hallucination explained, then reframed as defence.</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What hallucination is</w:t>
            </w:r>
          </w:p>
        </w:tc>
        <w:tc>
          <w:tcPr>
            <w:tcW w:type="dxa" w:w="5270"/>
            <w:gridSpan w:val="2"/>
          </w:tcPr>
          <w:p>
            <w:pPr>
              <w:spacing w:before="0" w:after="0"/>
            </w:pPr>
            <w:r>
              <w:rPr>
                <w:sz w:val="17"/>
              </w:rPr>
              <w:t>Mata v. Avianca, Air Canada, Stanford. Plain definition.</w:t>
            </w:r>
          </w:p>
        </w:tc>
      </w:tr>
      <w:tr>
        <w:tc>
          <w:tcPr>
            <w:tcW w:type="dxa" w:w="5270"/>
            <w:gridSpan w:val="2"/>
          </w:tcPr>
          <w:p>
            <w:pPr>
              <w:spacing w:before="0" w:after="0"/>
            </w:pPr>
            <w:r>
              <w:rPr>
                <w:b/>
                <w:sz w:val="17"/>
              </w:rPr>
              <w:t>The Defended Gap</w:t>
            </w:r>
          </w:p>
        </w:tc>
        <w:tc>
          <w:tcPr>
            <w:tcW w:type="dxa" w:w="5270"/>
            <w:gridSpan w:val="2"/>
          </w:tcPr>
          <w:p>
            <w:pPr>
              <w:spacing w:before="0" w:after="0"/>
            </w:pPr>
            <w:r>
              <w:rPr>
                <w:sz w:val="17"/>
              </w:rPr>
              <w:t>Compression inward, hallucination outward. Same problem.</w:t>
            </w:r>
          </w:p>
        </w:tc>
      </w:tr>
      <w:tr>
        <w:tc>
          <w:tcPr>
            <w:tcW w:type="dxa" w:w="5270"/>
            <w:gridSpan w:val="2"/>
          </w:tcPr>
          <w:p>
            <w:pPr>
              <w:spacing w:before="0" w:after="0"/>
            </w:pPr>
            <w:r>
              <w:rPr>
                <w:b/>
                <w:sz w:val="17"/>
              </w:rPr>
              <w:t>Where the signature came from</w:t>
            </w:r>
          </w:p>
        </w:tc>
        <w:tc>
          <w:tcPr>
            <w:tcW w:type="dxa" w:w="5270"/>
            <w:gridSpan w:val="2"/>
          </w:tcPr>
          <w:p>
            <w:pPr>
              <w:spacing w:before="0" w:after="0"/>
            </w:pPr>
            <w:r>
              <w:rPr>
                <w:sz w:val="17"/>
              </w:rPr>
              <w:t>NGE-FOF. Thirty years of clinical work.</w:t>
            </w:r>
          </w:p>
        </w:tc>
      </w:tr>
      <w:tr>
        <w:tc>
          <w:tcPr>
            <w:tcW w:type="dxa" w:w="5270"/>
            <w:gridSpan w:val="2"/>
          </w:tcPr>
          <w:p>
            <w:pPr>
              <w:spacing w:before="0" w:after="0"/>
            </w:pPr>
            <w:r>
              <w:rPr>
                <w:b/>
                <w:sz w:val="17"/>
              </w:rPr>
              <w:t>When the disposition becomes the model</w:t>
            </w:r>
          </w:p>
        </w:tc>
        <w:tc>
          <w:tcPr>
            <w:tcW w:type="dxa" w:w="5270"/>
            <w:gridSpan w:val="2"/>
          </w:tcPr>
          <w:p>
            <w:pPr>
              <w:spacing w:before="0" w:after="0"/>
            </w:pPr>
            <w:r>
              <w:rPr>
                <w:sz w:val="17"/>
              </w:rPr>
              <w:t>Trained adaptation = working adaptation.</w:t>
            </w:r>
          </w:p>
        </w:tc>
      </w:tr>
      <w:tr>
        <w:tc>
          <w:tcPr>
            <w:tcW w:type="dxa" w:w="5270"/>
            <w:gridSpan w:val="2"/>
          </w:tcPr>
          <w:p>
            <w:pPr>
              <w:spacing w:before="0" w:after="0"/>
            </w:pPr>
            <w:r>
              <w:rPr>
                <w:b/>
                <w:sz w:val="17"/>
              </w:rPr>
              <w:t>The line</w:t>
            </w:r>
          </w:p>
        </w:tc>
        <w:tc>
          <w:tcPr>
            <w:tcW w:type="dxa" w:w="5270"/>
            <w:gridSpan w:val="2"/>
          </w:tcPr>
          <w:p>
            <w:pPr>
              <w:spacing w:before="0" w:after="0"/>
            </w:pPr>
            <w:r>
              <w:rPr>
                <w:sz w:val="17"/>
              </w:rPr>
              <w:t>The chapter's most-quoted line lives here.</w:t>
            </w:r>
          </w:p>
        </w:tc>
      </w:tr>
    </w:tbl>
    <w:p>
      <w:pPr>
        <w:spacing w:before="40"/>
      </w:pPr>
      <w:r>
        <w:rPr>
          <w:i/>
          <w:color w:val="CC6600"/>
          <w:sz w:val="17"/>
        </w:rPr>
        <w:t>⚑ 11 sub-headings — most in the book. 'Notes, citations, and a caveat' could become a footnote.</w:t>
      </w:r>
    </w:p>
    <w:p>
      <w:pPr>
        <w:spacing w:before="200" w:after="40"/>
      </w:pPr>
      <w:r>
        <w:rPr>
          <w:b/>
          <w:color w:val="1F375B"/>
          <w:sz w:val="24"/>
        </w:rPr>
        <w:t>Ch 9  ·  The Instrument</w:t>
      </w:r>
    </w:p>
    <w:p>
      <w:pPr>
        <w:spacing w:after="40"/>
      </w:pPr>
      <w:r>
        <w:rPr>
          <w:i/>
          <w:sz w:val="19"/>
        </w:rPr>
        <w:t>Factory, boardroom, therapy room, AI room. One instrument.</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Room One: The Factory Floor</w:t>
            </w:r>
          </w:p>
        </w:tc>
        <w:tc>
          <w:tcPr>
            <w:tcW w:type="dxa" w:w="5270"/>
            <w:gridSpan w:val="2"/>
          </w:tcPr>
          <w:p>
            <w:pPr>
              <w:spacing w:before="0" w:after="0"/>
            </w:pPr>
            <w:r>
              <w:rPr>
                <w:sz w:val="17"/>
              </w:rPr>
              <w:t>Blakeborough valves. The gap with a price tag.</w:t>
            </w:r>
          </w:p>
        </w:tc>
      </w:tr>
      <w:tr>
        <w:tc>
          <w:tcPr>
            <w:tcW w:type="dxa" w:w="5270"/>
            <w:gridSpan w:val="2"/>
          </w:tcPr>
          <w:p>
            <w:pPr>
              <w:spacing w:before="0" w:after="0"/>
            </w:pPr>
            <w:r>
              <w:rPr>
                <w:b/>
                <w:sz w:val="17"/>
              </w:rPr>
              <w:t>Room Two: The Boardroom</w:t>
            </w:r>
          </w:p>
        </w:tc>
        <w:tc>
          <w:tcPr>
            <w:tcW w:type="dxa" w:w="5270"/>
            <w:gridSpan w:val="2"/>
          </w:tcPr>
          <w:p>
            <w:pPr>
              <w:spacing w:before="0" w:after="0"/>
            </w:pPr>
            <w:r>
              <w:rPr>
                <w:sz w:val="17"/>
              </w:rPr>
              <w:t>Confidence vs credibility. Fluency as currency.</w:t>
            </w:r>
          </w:p>
        </w:tc>
      </w:tr>
      <w:tr>
        <w:tc>
          <w:tcPr>
            <w:tcW w:type="dxa" w:w="5270"/>
            <w:gridSpan w:val="2"/>
          </w:tcPr>
          <w:p>
            <w:pPr>
              <w:spacing w:before="0" w:after="0"/>
            </w:pPr>
            <w:r>
              <w:rPr>
                <w:b/>
                <w:sz w:val="17"/>
              </w:rPr>
              <w:t>Room Three: The Therapy Room</w:t>
            </w:r>
          </w:p>
        </w:tc>
        <w:tc>
          <w:tcPr>
            <w:tcW w:type="dxa" w:w="5270"/>
            <w:gridSpan w:val="2"/>
          </w:tcPr>
          <w:p>
            <w:pPr>
              <w:spacing w:before="0" w:after="0"/>
            </w:pPr>
            <w:r>
              <w:rPr>
                <w:sz w:val="17"/>
              </w:rPr>
              <w:t>2015–present. + the 76m/97 Bibles authority passage (moved here V66).</w:t>
            </w:r>
          </w:p>
        </w:tc>
      </w:tr>
      <w:tr>
        <w:tc>
          <w:tcPr>
            <w:tcW w:type="dxa" w:w="5270"/>
            <w:gridSpan w:val="2"/>
          </w:tcPr>
          <w:p>
            <w:pPr>
              <w:spacing w:before="0" w:after="0"/>
            </w:pPr>
            <w:r>
              <w:rPr>
                <w:b/>
                <w:sz w:val="17"/>
              </w:rPr>
              <w:t>Room Four: The AI Room</w:t>
            </w:r>
          </w:p>
        </w:tc>
        <w:tc>
          <w:tcPr>
            <w:tcW w:type="dxa" w:w="5270"/>
            <w:gridSpan w:val="2"/>
          </w:tcPr>
          <w:p>
            <w:pPr>
              <w:spacing w:before="0" w:after="0"/>
            </w:pPr>
            <w:r>
              <w:rPr>
                <w:sz w:val="17"/>
              </w:rPr>
              <w:t>Plugs, Fuse Energy, Shipston. Same instrument, new room.</w:t>
            </w:r>
          </w:p>
        </w:tc>
      </w:tr>
      <w:tr>
        <w:tc>
          <w:tcPr>
            <w:tcW w:type="dxa" w:w="5270"/>
            <w:gridSpan w:val="2"/>
          </w:tcPr>
          <w:p>
            <w:pPr>
              <w:spacing w:before="0" w:after="0"/>
            </w:pPr>
            <w:r>
              <w:rPr>
                <w:b/>
                <w:sz w:val="17"/>
              </w:rPr>
              <w:t>One Instrument</w:t>
            </w:r>
          </w:p>
        </w:tc>
        <w:tc>
          <w:tcPr>
            <w:tcW w:type="dxa" w:w="5270"/>
            <w:gridSpan w:val="2"/>
          </w:tcPr>
          <w:p>
            <w:pPr>
              <w:spacing w:before="0" w:after="0"/>
            </w:pPr>
            <w:r>
              <w:rPr>
                <w:sz w:val="17"/>
              </w:rPr>
              <w:t>The synthesis. Four rooms converge.</w:t>
            </w:r>
          </w:p>
        </w:tc>
      </w:tr>
    </w:tbl>
    <w:p>
      <w:pPr>
        <w:spacing w:before="40"/>
      </w:pPr>
      <w:r>
        <w:rPr>
          <w:i/>
          <w:color w:val="CC6600"/>
          <w:sz w:val="17"/>
        </w:rPr>
        <w:t>⚑ V66: gained the 76m passage in Room Three → authority weight up. (Room headings are plain text, not bold.)</w:t>
      </w:r>
    </w:p>
    <w:p>
      <w:pPr>
        <w:spacing w:before="200" w:after="40"/>
      </w:pPr>
      <w:r>
        <w:rPr>
          <w:b/>
          <w:color w:val="1F375B"/>
          <w:sz w:val="24"/>
        </w:rPr>
        <w:t>Ch 10  ·  The Maturity Spectrum</w:t>
      </w:r>
    </w:p>
    <w:p>
      <w:pPr>
        <w:spacing w:after="40"/>
      </w:pPr>
      <w:r>
        <w:rPr>
          <w:i/>
          <w:sz w:val="19"/>
        </w:rPr>
        <w:t>Four stages, then a fifth. Where you sit shapes what returns.</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The Maturity Spectrum</w:t>
            </w:r>
          </w:p>
        </w:tc>
        <w:tc>
          <w:tcPr>
            <w:tcW w:type="dxa" w:w="5270"/>
            <w:gridSpan w:val="2"/>
          </w:tcPr>
          <w:p>
            <w:pPr>
              <w:spacing w:before="0" w:after="0"/>
            </w:pPr>
            <w:r>
              <w:rPr>
                <w:sz w:val="17"/>
              </w:rPr>
              <w:t>Search / Assistant / Collaborator / Additional Intelligence.</w:t>
            </w:r>
          </w:p>
        </w:tc>
      </w:tr>
      <w:tr>
        <w:tc>
          <w:tcPr>
            <w:tcW w:type="dxa" w:w="5270"/>
            <w:gridSpan w:val="2"/>
          </w:tcPr>
          <w:p>
            <w:pPr>
              <w:spacing w:before="0" w:after="0"/>
            </w:pPr>
            <w:r>
              <w:rPr>
                <w:b/>
                <w:sz w:val="17"/>
              </w:rPr>
              <w:t>Additional Intelligence</w:t>
            </w:r>
          </w:p>
        </w:tc>
        <w:tc>
          <w:tcPr>
            <w:tcW w:type="dxa" w:w="5270"/>
            <w:gridSpan w:val="2"/>
          </w:tcPr>
          <w:p>
            <w:pPr>
              <w:spacing w:before="0" w:after="0"/>
            </w:pPr>
            <w:r>
              <w:rPr>
                <w:sz w:val="17"/>
              </w:rPr>
              <w:t>The author's reframe of stage four.</w:t>
            </w:r>
          </w:p>
        </w:tc>
      </w:tr>
      <w:tr>
        <w:tc>
          <w:tcPr>
            <w:tcW w:type="dxa" w:w="5270"/>
            <w:gridSpan w:val="2"/>
          </w:tcPr>
          <w:p>
            <w:pPr>
              <w:spacing w:before="0" w:after="0"/>
            </w:pPr>
            <w:r>
              <w:rPr>
                <w:b/>
                <w:sz w:val="17"/>
              </w:rPr>
              <w:t>The Context Window Is Changing</w:t>
            </w:r>
          </w:p>
        </w:tc>
        <w:tc>
          <w:tcPr>
            <w:tcW w:type="dxa" w:w="5270"/>
            <w:gridSpan w:val="2"/>
          </w:tcPr>
          <w:p>
            <w:pPr>
              <w:spacing w:before="0" w:after="0"/>
            </w:pPr>
            <w:r>
              <w:rPr>
                <w:sz w:val="17"/>
              </w:rPr>
              <w:t>Bigger windows don't close the gap.</w:t>
            </w:r>
          </w:p>
        </w:tc>
      </w:tr>
      <w:tr>
        <w:tc>
          <w:tcPr>
            <w:tcW w:type="dxa" w:w="5270"/>
            <w:gridSpan w:val="2"/>
          </w:tcPr>
          <w:p>
            <w:pPr>
              <w:spacing w:before="0" w:after="0"/>
            </w:pPr>
            <w:r>
              <w:rPr>
                <w:b/>
                <w:sz w:val="17"/>
              </w:rPr>
              <w:t>Outcomes, Not Prompts</w:t>
            </w:r>
          </w:p>
        </w:tc>
        <w:tc>
          <w:tcPr>
            <w:tcW w:type="dxa" w:w="5270"/>
            <w:gridSpan w:val="2"/>
          </w:tcPr>
          <w:p>
            <w:pPr>
              <w:spacing w:before="0" w:after="0"/>
            </w:pPr>
            <w:r>
              <w:rPr>
                <w:sz w:val="17"/>
              </w:rPr>
              <w:t>Tell the system what good looks like.</w:t>
            </w:r>
          </w:p>
        </w:tc>
      </w:tr>
      <w:tr>
        <w:tc>
          <w:tcPr>
            <w:tcW w:type="dxa" w:w="5270"/>
            <w:gridSpan w:val="2"/>
          </w:tcPr>
          <w:p>
            <w:pPr>
              <w:spacing w:before="0" w:after="0"/>
            </w:pPr>
            <w:r>
              <w:rPr>
                <w:b/>
                <w:sz w:val="17"/>
              </w:rPr>
              <w:t>A Fifth Move</w:t>
            </w:r>
          </w:p>
        </w:tc>
        <w:tc>
          <w:tcPr>
            <w:tcW w:type="dxa" w:w="5270"/>
            <w:gridSpan w:val="2"/>
          </w:tcPr>
          <w:p>
            <w:pPr>
              <w:spacing w:before="0" w:after="0"/>
            </w:pPr>
            <w:r>
              <w:rPr>
                <w:sz w:val="17"/>
              </w:rPr>
              <w:t>What sits above the four.</w:t>
            </w:r>
          </w:p>
        </w:tc>
      </w:tr>
      <w:tr>
        <w:tc>
          <w:tcPr>
            <w:tcW w:type="dxa" w:w="5270"/>
            <w:gridSpan w:val="2"/>
          </w:tcPr>
          <w:p>
            <w:pPr>
              <w:spacing w:before="0" w:after="0"/>
            </w:pPr>
            <w:r>
              <w:rPr>
                <w:b/>
                <w:sz w:val="17"/>
              </w:rPr>
              <w:t>The Bowlby Test</w:t>
            </w:r>
          </w:p>
        </w:tc>
        <w:tc>
          <w:tcPr>
            <w:tcW w:type="dxa" w:w="5270"/>
            <w:gridSpan w:val="2"/>
          </w:tcPr>
          <w:p>
            <w:pPr>
              <w:spacing w:before="0" w:after="0"/>
            </w:pPr>
            <w:r>
              <w:rPr>
                <w:sz w:val="17"/>
              </w:rPr>
              <w:t>When to demand a human. CL-17.</w:t>
            </w:r>
          </w:p>
        </w:tc>
      </w:tr>
    </w:tbl>
    <w:p>
      <w:pPr>
        <w:spacing w:before="200" w:after="40"/>
      </w:pPr>
      <w:r>
        <w:rPr>
          <w:b/>
          <w:color w:val="1F375B"/>
          <w:sz w:val="24"/>
        </w:rPr>
        <w:t>Ch 11  ·  Me, Myself or I</w:t>
      </w:r>
    </w:p>
    <w:p>
      <w:pPr>
        <w:spacing w:after="40"/>
      </w:pPr>
      <w:r>
        <w:rPr>
          <w:i/>
          <w:sz w:val="19"/>
        </w:rPr>
        <w:t>Six modes. Pick deliberately. Notice the default that fires.</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Jean Bond / Behind the Mask</w:t>
            </w:r>
          </w:p>
        </w:tc>
        <w:tc>
          <w:tcPr>
            <w:tcW w:type="dxa" w:w="5270"/>
            <w:gridSpan w:val="2"/>
          </w:tcPr>
          <w:p>
            <w:pPr>
              <w:spacing w:before="0" w:after="0"/>
            </w:pPr>
            <w:r>
              <w:rPr>
                <w:sz w:val="17"/>
              </w:rPr>
              <w:t>Opens on the canonical recognition line. 5 Nov 2006.</w:t>
            </w:r>
          </w:p>
        </w:tc>
      </w:tr>
      <w:tr>
        <w:tc>
          <w:tcPr>
            <w:tcW w:type="dxa" w:w="5270"/>
            <w:gridSpan w:val="2"/>
          </w:tcPr>
          <w:p>
            <w:pPr>
              <w:spacing w:before="0" w:after="0"/>
            </w:pPr>
            <w:r>
              <w:rPr>
                <w:b/>
                <w:sz w:val="17"/>
              </w:rPr>
              <w:t>The Block and the Unnameable Dread</w:t>
            </w:r>
          </w:p>
        </w:tc>
        <w:tc>
          <w:tcPr>
            <w:tcW w:type="dxa" w:w="5270"/>
            <w:gridSpan w:val="2"/>
          </w:tcPr>
          <w:p>
            <w:pPr>
              <w:spacing w:before="0" w:after="0"/>
            </w:pPr>
            <w:r>
              <w:rPr>
                <w:sz w:val="17"/>
              </w:rPr>
              <w:t>Firman. Russian Doll Therapy. Olivia.</w:t>
            </w:r>
          </w:p>
        </w:tc>
      </w:tr>
      <w:tr>
        <w:tc>
          <w:tcPr>
            <w:tcW w:type="dxa" w:w="5270"/>
            <w:gridSpan w:val="2"/>
          </w:tcPr>
          <w:p>
            <w:pPr>
              <w:spacing w:before="0" w:after="0"/>
            </w:pPr>
            <w:r>
              <w:rPr>
                <w:b/>
                <w:sz w:val="17"/>
              </w:rPr>
              <w:t>A Note on the Clinical Source</w:t>
            </w:r>
          </w:p>
        </w:tc>
        <w:tc>
          <w:tcPr>
            <w:tcW w:type="dxa" w:w="5270"/>
            <w:gridSpan w:val="2"/>
          </w:tcPr>
          <w:p>
            <w:pPr>
              <w:spacing w:before="0" w:after="0"/>
            </w:pPr>
            <w:r>
              <w:rPr>
                <w:sz w:val="17"/>
              </w:rPr>
              <w:t>Psychosynthesis, sub-personalities.</w:t>
            </w:r>
          </w:p>
        </w:tc>
      </w:tr>
      <w:tr>
        <w:tc>
          <w:tcPr>
            <w:tcW w:type="dxa" w:w="5270"/>
            <w:gridSpan w:val="2"/>
          </w:tcPr>
          <w:p>
            <w:pPr>
              <w:spacing w:before="0" w:after="0"/>
            </w:pPr>
            <w:r>
              <w:rPr>
                <w:b/>
                <w:sz w:val="17"/>
              </w:rPr>
              <w:t>The Six Modes</w:t>
            </w:r>
          </w:p>
        </w:tc>
        <w:tc>
          <w:tcPr>
            <w:tcW w:type="dxa" w:w="5270"/>
            <w:gridSpan w:val="2"/>
          </w:tcPr>
          <w:p>
            <w:pPr>
              <w:spacing w:before="0" w:after="0"/>
            </w:pPr>
            <w:r>
              <w:rPr>
                <w:sz w:val="17"/>
              </w:rPr>
              <w:t>Director, Structurer, Clarifier, Challenger, Analyst, Reflector.</w:t>
            </w:r>
          </w:p>
        </w:tc>
      </w:tr>
      <w:tr>
        <w:tc>
          <w:tcPr>
            <w:tcW w:type="dxa" w:w="5270"/>
            <w:gridSpan w:val="2"/>
          </w:tcPr>
          <w:p>
            <w:pPr>
              <w:spacing w:before="0" w:after="0"/>
            </w:pPr>
            <w:r>
              <w:rPr>
                <w:b/>
                <w:sz w:val="17"/>
              </w:rPr>
              <w:t>What This Looks Like in Practice</w:t>
            </w:r>
          </w:p>
        </w:tc>
        <w:tc>
          <w:tcPr>
            <w:tcW w:type="dxa" w:w="5270"/>
            <w:gridSpan w:val="2"/>
          </w:tcPr>
          <w:p>
            <w:pPr>
              <w:spacing w:before="0" w:after="0"/>
            </w:pPr>
            <w:r>
              <w:rPr>
                <w:sz w:val="17"/>
              </w:rPr>
              <w:t>Each mode with examples.</w:t>
            </w:r>
          </w:p>
        </w:tc>
      </w:tr>
      <w:tr>
        <w:tc>
          <w:tcPr>
            <w:tcW w:type="dxa" w:w="5270"/>
            <w:gridSpan w:val="2"/>
          </w:tcPr>
          <w:p>
            <w:pPr>
              <w:spacing w:before="0" w:after="0"/>
            </w:pPr>
            <w:r>
              <w:rPr>
                <w:b/>
                <w:sz w:val="17"/>
              </w:rPr>
              <w:t>The Default Modes and What They Cost</w:t>
            </w:r>
          </w:p>
        </w:tc>
        <w:tc>
          <w:tcPr>
            <w:tcW w:type="dxa" w:w="5270"/>
            <w:gridSpan w:val="2"/>
          </w:tcPr>
          <w:p>
            <w:pPr>
              <w:spacing w:before="0" w:after="0"/>
            </w:pPr>
            <w:r>
              <w:rPr>
                <w:sz w:val="17"/>
              </w:rPr>
              <w:t>Fixer, Entertainer, Asker.</w:t>
            </w:r>
          </w:p>
        </w:tc>
      </w:tr>
      <w:tr>
        <w:tc>
          <w:tcPr>
            <w:tcW w:type="dxa" w:w="5270"/>
            <w:gridSpan w:val="2"/>
          </w:tcPr>
          <w:p>
            <w:pPr>
              <w:spacing w:before="0" w:after="0"/>
            </w:pPr>
            <w:r>
              <w:rPr>
                <w:b/>
                <w:sz w:val="17"/>
              </w:rPr>
              <w:t>The Integration</w:t>
            </w:r>
          </w:p>
        </w:tc>
        <w:tc>
          <w:tcPr>
            <w:tcW w:type="dxa" w:w="5270"/>
            <w:gridSpan w:val="2"/>
          </w:tcPr>
          <w:p>
            <w:pPr>
              <w:spacing w:before="0" w:after="0"/>
            </w:pPr>
            <w:r>
              <w:rPr>
                <w:sz w:val="17"/>
              </w:rPr>
              <w:t>Range across modes is the practitioner's skill.</w:t>
            </w:r>
          </w:p>
        </w:tc>
      </w:tr>
    </w:tbl>
    <w:p>
      <w:pPr>
        <w:spacing w:before="200" w:after="40"/>
      </w:pPr>
      <w:r>
        <w:rPr>
          <w:b/>
          <w:color w:val="1F375B"/>
          <w:sz w:val="24"/>
        </w:rPr>
        <w:t>Ch 12  ·  The Dialect</w:t>
      </w:r>
    </w:p>
    <w:p>
      <w:pPr>
        <w:spacing w:after="40"/>
      </w:pPr>
      <w:r>
        <w:rPr>
          <w:i/>
          <w:sz w:val="19"/>
        </w:rPr>
        <w:t>Speaks English, different game. Learn it. Brief it. Accept its voice.</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The second dialect</w:t>
            </w:r>
          </w:p>
        </w:tc>
        <w:tc>
          <w:tcPr>
            <w:tcW w:type="dxa" w:w="5270"/>
            <w:gridSpan w:val="2"/>
          </w:tcPr>
          <w:p>
            <w:pPr>
              <w:spacing w:before="0" w:after="0"/>
            </w:pPr>
            <w:r>
              <w:rPr>
                <w:sz w:val="17"/>
              </w:rPr>
              <w:t>AI English has its own architecture-shaped grammar.</w:t>
            </w:r>
          </w:p>
        </w:tc>
      </w:tr>
      <w:tr>
        <w:tc>
          <w:tcPr>
            <w:tcW w:type="dxa" w:w="5270"/>
            <w:gridSpan w:val="2"/>
          </w:tcPr>
          <w:p>
            <w:pPr>
              <w:spacing w:before="0" w:after="0"/>
            </w:pPr>
            <w:r>
              <w:rPr>
                <w:b/>
                <w:sz w:val="17"/>
              </w:rPr>
              <w:t>Voice, not my voice</w:t>
            </w:r>
          </w:p>
        </w:tc>
        <w:tc>
          <w:tcPr>
            <w:tcW w:type="dxa" w:w="5270"/>
            <w:gridSpan w:val="2"/>
          </w:tcPr>
          <w:p>
            <w:pPr>
              <w:spacing w:before="0" w:after="0"/>
            </w:pPr>
            <w:r>
              <w:rPr>
                <w:sz w:val="17"/>
              </w:rPr>
              <w:t>Letting the system's voice land. It carries signal.</w:t>
            </w:r>
          </w:p>
        </w:tc>
      </w:tr>
      <w:tr>
        <w:tc>
          <w:tcPr>
            <w:tcW w:type="dxa" w:w="5270"/>
            <w:gridSpan w:val="2"/>
          </w:tcPr>
          <w:p>
            <w:pPr>
              <w:spacing w:before="0" w:after="0"/>
            </w:pPr>
            <w:r>
              <w:rPr>
                <w:b/>
                <w:sz w:val="17"/>
              </w:rPr>
              <w:t>Different rooms, different registers</w:t>
            </w:r>
          </w:p>
        </w:tc>
        <w:tc>
          <w:tcPr>
            <w:tcW w:type="dxa" w:w="5270"/>
            <w:gridSpan w:val="2"/>
          </w:tcPr>
          <w:p>
            <w:pPr>
              <w:spacing w:before="0" w:after="0"/>
            </w:pPr>
            <w:r>
              <w:rPr>
                <w:sz w:val="17"/>
              </w:rPr>
              <w:t>When to shape, when to leave alone.</w:t>
            </w:r>
          </w:p>
        </w:tc>
      </w:tr>
      <w:tr>
        <w:tc>
          <w:tcPr>
            <w:tcW w:type="dxa" w:w="5270"/>
            <w:gridSpan w:val="2"/>
          </w:tcPr>
          <w:p>
            <w:pPr>
              <w:spacing w:before="0" w:after="0"/>
            </w:pPr>
            <w:r>
              <w:rPr>
                <w:b/>
                <w:sz w:val="17"/>
              </w:rPr>
              <w:t>Working with the dialect</w:t>
            </w:r>
          </w:p>
        </w:tc>
        <w:tc>
          <w:tcPr>
            <w:tcW w:type="dxa" w:w="5270"/>
            <w:gridSpan w:val="2"/>
          </w:tcPr>
          <w:p>
            <w:pPr>
              <w:spacing w:before="0" w:after="0"/>
            </w:pPr>
            <w:r>
              <w:rPr>
                <w:sz w:val="17"/>
              </w:rPr>
              <w:t>The brief, the replay, the cross-check.</w:t>
            </w:r>
          </w:p>
        </w:tc>
      </w:tr>
      <w:tr>
        <w:tc>
          <w:tcPr>
            <w:tcW w:type="dxa" w:w="5270"/>
            <w:gridSpan w:val="2"/>
          </w:tcPr>
          <w:p>
            <w:pPr>
              <w:spacing w:before="0" w:after="0"/>
            </w:pPr>
            <w:r>
              <w:rPr>
                <w:b/>
                <w:sz w:val="17"/>
              </w:rPr>
              <w:t>Audio is the next register</w:t>
            </w:r>
          </w:p>
        </w:tc>
        <w:tc>
          <w:tcPr>
            <w:tcW w:type="dxa" w:w="5270"/>
            <w:gridSpan w:val="2"/>
          </w:tcPr>
          <w:p>
            <w:pPr>
              <w:spacing w:before="0" w:after="0"/>
            </w:pPr>
            <w:r>
              <w:rPr>
                <w:sz w:val="17"/>
              </w:rPr>
              <w:t>Voice arriving. Convergence accelerating.</w:t>
            </w:r>
          </w:p>
        </w:tc>
      </w:tr>
    </w:tbl>
    <w:p>
      <w:pPr>
        <w:spacing w:before="40"/>
      </w:pPr>
      <w:r>
        <w:rPr>
          <w:i/>
          <w:color w:val="CC6600"/>
          <w:sz w:val="17"/>
        </w:rPr>
        <w:t>⚑ 'A few smaller observations on dialect drift' reads as appendix; candidate to fold.</w:t>
      </w:r>
    </w:p>
    <w:p>
      <w:pPr>
        <w:spacing w:before="200" w:after="40"/>
      </w:pPr>
      <w:r>
        <w:rPr>
          <w:b/>
          <w:color w:val="1F375B"/>
          <w:sz w:val="24"/>
        </w:rPr>
        <w:t>Ch 13  ·  Worker as a Service (WaaS)</w:t>
      </w:r>
    </w:p>
    <w:p>
      <w:pPr>
        <w:spacing w:after="40"/>
      </w:pPr>
      <w:r>
        <w:rPr>
          <w:i/>
          <w:sz w:val="19"/>
        </w:rPr>
        <w:t>Different model. Different world. CFO replaces CTO in procurement.</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What Changes</w:t>
            </w:r>
          </w:p>
        </w:tc>
        <w:tc>
          <w:tcPr>
            <w:tcW w:type="dxa" w:w="5270"/>
            <w:gridSpan w:val="2"/>
          </w:tcPr>
          <w:p>
            <w:pPr>
              <w:spacing w:before="0" w:after="0"/>
            </w:pPr>
            <w:r>
              <w:rPr>
                <w:sz w:val="17"/>
              </w:rPr>
              <w:t>Workforce model, performance, cost, knowledge.</w:t>
            </w:r>
          </w:p>
        </w:tc>
      </w:tr>
      <w:tr>
        <w:tc>
          <w:tcPr>
            <w:tcW w:type="dxa" w:w="5270"/>
            <w:gridSpan w:val="2"/>
          </w:tcPr>
          <w:p>
            <w:pPr>
              <w:spacing w:before="0" w:after="0"/>
            </w:pPr>
            <w:r>
              <w:rPr>
                <w:b/>
                <w:sz w:val="17"/>
              </w:rPr>
              <w:t>OOAI — Outcome-Oriented AI</w:t>
            </w:r>
          </w:p>
        </w:tc>
        <w:tc>
          <w:tcPr>
            <w:tcW w:type="dxa" w:w="5270"/>
            <w:gridSpan w:val="2"/>
          </w:tcPr>
          <w:p>
            <w:pPr>
              <w:spacing w:before="0" w:after="0"/>
            </w:pPr>
            <w:r>
              <w:rPr>
                <w:sz w:val="17"/>
              </w:rPr>
              <w:t>Best managers, not best programmers.</w:t>
            </w:r>
          </w:p>
        </w:tc>
      </w:tr>
      <w:tr>
        <w:tc>
          <w:tcPr>
            <w:tcW w:type="dxa" w:w="5270"/>
            <w:gridSpan w:val="2"/>
          </w:tcPr>
          <w:p>
            <w:pPr>
              <w:spacing w:before="0" w:after="0"/>
            </w:pPr>
            <w:r>
              <w:rPr>
                <w:b/>
                <w:sz w:val="17"/>
              </w:rPr>
              <w:t>What Doesn't Change</w:t>
            </w:r>
          </w:p>
        </w:tc>
        <w:tc>
          <w:tcPr>
            <w:tcW w:type="dxa" w:w="5270"/>
            <w:gridSpan w:val="2"/>
          </w:tcPr>
          <w:p>
            <w:pPr>
              <w:spacing w:before="0" w:after="0"/>
            </w:pPr>
            <w:r>
              <w:rPr>
                <w:sz w:val="17"/>
              </w:rPr>
              <w:t>Human at the boundary, human at the depth.</w:t>
            </w:r>
          </w:p>
        </w:tc>
      </w:tr>
      <w:tr>
        <w:tc>
          <w:tcPr>
            <w:tcW w:type="dxa" w:w="5270"/>
            <w:gridSpan w:val="2"/>
          </w:tcPr>
          <w:p>
            <w:pPr>
              <w:spacing w:before="0" w:after="0"/>
            </w:pPr>
            <w:r>
              <w:rPr>
                <w:b/>
                <w:sz w:val="17"/>
              </w:rPr>
              <w:t>The Gap at Organisational Scale</w:t>
            </w:r>
          </w:p>
        </w:tc>
        <w:tc>
          <w:tcPr>
            <w:tcW w:type="dxa" w:w="5270"/>
            <w:gridSpan w:val="2"/>
          </w:tcPr>
          <w:p>
            <w:pPr>
              <w:spacing w:before="0" w:after="0"/>
            </w:pPr>
            <w:r>
              <w:rPr>
                <w:sz w:val="17"/>
              </w:rPr>
              <w:t>Drift × ten thousand interactions = exposure.</w:t>
            </w:r>
          </w:p>
        </w:tc>
      </w:tr>
      <w:tr>
        <w:tc>
          <w:tcPr>
            <w:tcW w:type="dxa" w:w="5270"/>
            <w:gridSpan w:val="2"/>
          </w:tcPr>
          <w:p>
            <w:pPr>
              <w:spacing w:before="0" w:after="0"/>
            </w:pPr>
            <w:r>
              <w:rPr>
                <w:b/>
                <w:sz w:val="17"/>
              </w:rPr>
              <w:t>The Invisible Substrate</w:t>
            </w:r>
          </w:p>
        </w:tc>
        <w:tc>
          <w:tcPr>
            <w:tcW w:type="dxa" w:w="5270"/>
            <w:gridSpan w:val="2"/>
          </w:tcPr>
          <w:p>
            <w:pPr>
              <w:spacing w:before="0" w:after="0"/>
            </w:pPr>
            <w:r>
              <w:rPr>
                <w:sz w:val="17"/>
              </w:rPr>
              <w:t>AI architecture as the WaaS world's dark matter.</w:t>
            </w:r>
          </w:p>
        </w:tc>
      </w:tr>
      <w:tr>
        <w:tc>
          <w:tcPr>
            <w:tcW w:type="dxa" w:w="5270"/>
            <w:gridSpan w:val="2"/>
          </w:tcPr>
          <w:p>
            <w:pPr>
              <w:spacing w:before="0" w:after="0"/>
            </w:pPr>
            <w:r>
              <w:rPr>
                <w:b/>
                <w:sz w:val="17"/>
              </w:rPr>
              <w:t>The Reversed Turing Test</w:t>
            </w:r>
          </w:p>
        </w:tc>
        <w:tc>
          <w:tcPr>
            <w:tcW w:type="dxa" w:w="5270"/>
            <w:gridSpan w:val="2"/>
          </w:tcPr>
          <w:p>
            <w:pPr>
              <w:spacing w:before="0" w:after="0"/>
            </w:pPr>
            <w:r>
              <w:rPr>
                <w:sz w:val="17"/>
              </w:rPr>
              <w:t>Pret confirms the human in writing.</w:t>
            </w:r>
          </w:p>
        </w:tc>
      </w:tr>
      <w:tr>
        <w:tc>
          <w:tcPr>
            <w:tcW w:type="dxa" w:w="5270"/>
            <w:gridSpan w:val="2"/>
          </w:tcPr>
          <w:p>
            <w:pPr>
              <w:spacing w:before="0" w:after="0"/>
            </w:pPr>
            <w:r>
              <w:rPr>
                <w:b/>
                <w:sz w:val="17"/>
              </w:rPr>
              <w:t>From Boardroom to Shipston</w:t>
            </w:r>
          </w:p>
        </w:tc>
        <w:tc>
          <w:tcPr>
            <w:tcW w:type="dxa" w:w="5270"/>
            <w:gridSpan w:val="2"/>
          </w:tcPr>
          <w:p>
            <w:pPr>
              <w:spacing w:before="0" w:after="0"/>
            </w:pPr>
            <w:r>
              <w:rPr>
                <w:sz w:val="17"/>
              </w:rPr>
              <w:t>Same literacy, market-town register.</w:t>
            </w:r>
          </w:p>
        </w:tc>
      </w:tr>
    </w:tbl>
    <w:p>
      <w:pPr>
        <w:spacing w:before="200" w:after="40"/>
      </w:pPr>
      <w:r>
        <w:rPr>
          <w:b/>
          <w:color w:val="1F375B"/>
          <w:sz w:val="24"/>
        </w:rPr>
        <w:t>Ch 14  ·  Mind the Gap</w:t>
      </w:r>
    </w:p>
    <w:p>
      <w:pPr>
        <w:spacing w:after="40"/>
      </w:pPr>
      <w:r>
        <w:rPr>
          <w:i/>
          <w:sz w:val="19"/>
        </w:rPr>
        <w:t>The book demonstrating its own argument. Two intelligences, one gap.</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Two Dads</w:t>
            </w:r>
          </w:p>
        </w:tc>
        <w:tc>
          <w:tcPr>
            <w:tcW w:type="dxa" w:w="5270"/>
            <w:gridSpan w:val="2"/>
          </w:tcPr>
          <w:p>
            <w:pPr>
              <w:spacing w:before="0" w:after="0"/>
            </w:pPr>
            <w:r>
              <w:rPr>
                <w:sz w:val="17"/>
              </w:rPr>
              <w:t>Biological father at three. Ian Roebuck at fifty-six.</w:t>
            </w:r>
          </w:p>
        </w:tc>
      </w:tr>
      <w:tr>
        <w:tc>
          <w:tcPr>
            <w:tcW w:type="dxa" w:w="5270"/>
            <w:gridSpan w:val="2"/>
          </w:tcPr>
          <w:p>
            <w:pPr>
              <w:spacing w:before="0" w:after="0"/>
            </w:pPr>
            <w:r>
              <w:rPr>
                <w:b/>
                <w:sz w:val="17"/>
              </w:rPr>
              <w:t>What Intelligence Cannot Reach</w:t>
            </w:r>
          </w:p>
        </w:tc>
        <w:tc>
          <w:tcPr>
            <w:tcW w:type="dxa" w:w="5270"/>
            <w:gridSpan w:val="2"/>
          </w:tcPr>
          <w:p>
            <w:pPr>
              <w:spacing w:before="0" w:after="0"/>
            </w:pPr>
            <w:r>
              <w:rPr>
                <w:sz w:val="17"/>
              </w:rPr>
              <w:t>Authority earned, not announced.</w:t>
            </w:r>
          </w:p>
        </w:tc>
      </w:tr>
      <w:tr>
        <w:tc>
          <w:tcPr>
            <w:tcW w:type="dxa" w:w="5270"/>
            <w:gridSpan w:val="2"/>
          </w:tcPr>
          <w:p>
            <w:pPr>
              <w:spacing w:before="0" w:after="0"/>
            </w:pPr>
            <w:r>
              <w:rPr>
                <w:b/>
                <w:sz w:val="17"/>
              </w:rPr>
              <w:t>Cancer Closes One Door and Opens Another</w:t>
            </w:r>
          </w:p>
        </w:tc>
        <w:tc>
          <w:tcPr>
            <w:tcW w:type="dxa" w:w="5270"/>
            <w:gridSpan w:val="2"/>
          </w:tcPr>
          <w:p>
            <w:pPr>
              <w:spacing w:before="0" w:after="0"/>
            </w:pPr>
            <w:r>
              <w:rPr>
                <w:sz w:val="17"/>
              </w:rPr>
              <w:t>2017. The authority anchor.</w:t>
            </w:r>
          </w:p>
        </w:tc>
      </w:tr>
      <w:tr>
        <w:tc>
          <w:tcPr>
            <w:tcW w:type="dxa" w:w="5270"/>
            <w:gridSpan w:val="2"/>
          </w:tcPr>
          <w:p>
            <w:pPr>
              <w:spacing w:before="0" w:after="0"/>
            </w:pPr>
            <w:r>
              <w:rPr>
                <w:b/>
                <w:sz w:val="17"/>
              </w:rPr>
              <w:t>Grief and the Ultimate Gap</w:t>
            </w:r>
          </w:p>
        </w:tc>
        <w:tc>
          <w:tcPr>
            <w:tcW w:type="dxa" w:w="5270"/>
            <w:gridSpan w:val="2"/>
          </w:tcPr>
          <w:p>
            <w:pPr>
              <w:spacing w:before="0" w:after="0"/>
            </w:pPr>
            <w:r>
              <w:rPr>
                <w:sz w:val="17"/>
              </w:rPr>
              <w:t>Studying grief while losing the father.</w:t>
            </w:r>
          </w:p>
        </w:tc>
      </w:tr>
      <w:tr>
        <w:tc>
          <w:tcPr>
            <w:tcW w:type="dxa" w:w="5270"/>
            <w:gridSpan w:val="2"/>
          </w:tcPr>
          <w:p>
            <w:pPr>
              <w:spacing w:before="0" w:after="0"/>
            </w:pPr>
            <w:r>
              <w:rPr>
                <w:b/>
                <w:sz w:val="17"/>
              </w:rPr>
              <w:t>The Bowlby Closing</w:t>
            </w:r>
          </w:p>
        </w:tc>
        <w:tc>
          <w:tcPr>
            <w:tcW w:type="dxa" w:w="5270"/>
            <w:gridSpan w:val="2"/>
          </w:tcPr>
          <w:p>
            <w:pPr>
              <w:spacing w:before="0" w:after="0"/>
            </w:pPr>
            <w:r>
              <w:rPr>
                <w:sz w:val="17"/>
              </w:rPr>
              <w:t>Attachment as the bridge across survival.</w:t>
            </w:r>
          </w:p>
        </w:tc>
      </w:tr>
    </w:tbl>
    <w:p>
      <w:pPr>
        <w:spacing w:before="200" w:after="40"/>
      </w:pPr>
      <w:r>
        <w:rPr>
          <w:b/>
          <w:color w:val="1F375B"/>
          <w:sz w:val="24"/>
        </w:rPr>
        <w:t>Ch 15  ·  Which Gap? This One.</w:t>
      </w:r>
    </w:p>
    <w:p>
      <w:pPr>
        <w:spacing w:after="40"/>
      </w:pPr>
      <w:r>
        <w:rPr>
          <w:i/>
          <w:sz w:val="19"/>
        </w:rPr>
        <w:t>Two hundred million years vs less than a century. Different branches.</w:t>
      </w:r>
    </w:p>
    <w:tbl>
      <w:tblPr>
        <w:tblStyle w:val="TableGrid"/>
        <w:tblW w:type="auto" w:w="0"/>
        <w:tblLook w:firstColumn="1" w:firstRow="1" w:lastColumn="0" w:lastRow="0" w:noHBand="0" w:noVBand="1" w:val="04A0"/>
      </w:tblPr>
      <w:tblGrid>
        <w:gridCol w:w="2635"/>
        <w:gridCol w:w="2635"/>
        <w:gridCol w:w="2635"/>
        <w:gridCol w:w="2635"/>
      </w:tblGrid>
      <w:tr>
        <w:tc>
          <w:tcPr>
            <w:tcW w:type="dxa" w:w="2635"/>
            <w:shd w:fill="EFF2F7"/>
          </w:tcPr>
          <w:p>
            <w:pPr>
              <w:spacing w:before="0" w:after="0"/>
            </w:pPr>
            <w:r>
              <w:rPr>
                <w:b/>
                <w:sz w:val="18"/>
              </w:rPr>
              <w:t>Coverage</w:t>
            </w:r>
          </w:p>
        </w:tc>
        <w:tc>
          <w:tcPr>
            <w:tcW w:type="dxa" w:w="2635"/>
            <w:shd w:fill="EFF2F7"/>
          </w:tcPr>
          <w:p>
            <w:pPr>
              <w:spacing w:before="0" w:after="0"/>
            </w:pPr>
            <w:r>
              <w:rPr>
                <w:b/>
                <w:sz w:val="18"/>
              </w:rPr>
              <w:t>AI ●●</w:t>
            </w:r>
          </w:p>
        </w:tc>
        <w:tc>
          <w:tcPr>
            <w:tcW w:type="dxa" w:w="2635"/>
            <w:shd w:fill="EFF2F7"/>
          </w:tcPr>
          <w:p>
            <w:pPr>
              <w:spacing w:before="0" w:after="0"/>
            </w:pPr>
            <w:r>
              <w:rPr>
                <w:b/>
                <w:sz w:val="18"/>
              </w:rPr>
              <w:t>Behaviour ●●●</w:t>
            </w:r>
          </w:p>
        </w:tc>
        <w:tc>
          <w:tcPr>
            <w:tcW w:type="dxa" w:w="2635"/>
            <w:shd w:fill="EFF2F7"/>
          </w:tcPr>
          <w:p>
            <w:pPr>
              <w:spacing w:before="0" w:after="0"/>
            </w:pPr>
            <w:r>
              <w:rPr>
                <w:b/>
                <w:sz w:val="18"/>
              </w:rPr>
              <w:t>Gap ●●●</w:t>
            </w:r>
          </w:p>
        </w:tc>
      </w:tr>
      <w:tr>
        <w:tc>
          <w:tcPr>
            <w:tcW w:type="dxa" w:w="5270"/>
            <w:gridSpan w:val="2"/>
          </w:tcPr>
          <w:p>
            <w:pPr>
              <w:spacing w:before="0" w:after="0"/>
            </w:pPr>
            <w:r>
              <w:rPr>
                <w:b/>
                <w:sz w:val="17"/>
              </w:rPr>
              <w:t>Federation vs single inference</w:t>
            </w:r>
          </w:p>
        </w:tc>
        <w:tc>
          <w:tcPr>
            <w:tcW w:type="dxa" w:w="5270"/>
            <w:gridSpan w:val="2"/>
          </w:tcPr>
          <w:p>
            <w:pPr>
              <w:spacing w:before="0" w:after="0"/>
            </w:pPr>
            <w:r>
              <w:rPr>
                <w:sz w:val="17"/>
              </w:rPr>
              <w:t>A human is slices. AI is one architecture.</w:t>
            </w:r>
          </w:p>
        </w:tc>
      </w:tr>
      <w:tr>
        <w:tc>
          <w:tcPr>
            <w:tcW w:type="dxa" w:w="5270"/>
            <w:gridSpan w:val="2"/>
          </w:tcPr>
          <w:p>
            <w:pPr>
              <w:spacing w:before="0" w:after="0"/>
            </w:pPr>
            <w:r>
              <w:rPr>
                <w:b/>
                <w:sz w:val="17"/>
              </w:rPr>
              <w:t>The biological branch</w:t>
            </w:r>
          </w:p>
        </w:tc>
        <w:tc>
          <w:tcPr>
            <w:tcW w:type="dxa" w:w="5270"/>
            <w:gridSpan w:val="2"/>
          </w:tcPr>
          <w:p>
            <w:pPr>
              <w:spacing w:before="0" w:after="0"/>
            </w:pPr>
            <w:r>
              <w:rPr>
                <w:sz w:val="17"/>
              </w:rPr>
              <w:t>Limbic system. Amygdala. HPA axis. 200m years.</w:t>
            </w:r>
          </w:p>
        </w:tc>
      </w:tr>
      <w:tr>
        <w:tc>
          <w:tcPr>
            <w:tcW w:type="dxa" w:w="5270"/>
            <w:gridSpan w:val="2"/>
          </w:tcPr>
          <w:p>
            <w:pPr>
              <w:spacing w:before="0" w:after="0"/>
            </w:pPr>
            <w:r>
              <w:rPr>
                <w:b/>
                <w:sz w:val="17"/>
              </w:rPr>
              <w:t>The mathematical branch</w:t>
            </w:r>
          </w:p>
        </w:tc>
        <w:tc>
          <w:tcPr>
            <w:tcW w:type="dxa" w:w="5270"/>
            <w:gridSpan w:val="2"/>
          </w:tcPr>
          <w:p>
            <w:pPr>
              <w:spacing w:before="0" w:after="0"/>
            </w:pPr>
            <w:r>
              <w:rPr>
                <w:sz w:val="17"/>
              </w:rPr>
              <w:t>Turing to Opus. Less than a century.</w:t>
            </w:r>
          </w:p>
        </w:tc>
      </w:tr>
      <w:tr>
        <w:tc>
          <w:tcPr>
            <w:tcW w:type="dxa" w:w="5270"/>
            <w:gridSpan w:val="2"/>
          </w:tcPr>
          <w:p>
            <w:pPr>
              <w:spacing w:before="0" w:after="0"/>
            </w:pPr>
            <w:r>
              <w:rPr>
                <w:b/>
                <w:sz w:val="17"/>
              </w:rPr>
              <w:t>Same Big Bang. Different branches.</w:t>
            </w:r>
          </w:p>
        </w:tc>
        <w:tc>
          <w:tcPr>
            <w:tcW w:type="dxa" w:w="5270"/>
            <w:gridSpan w:val="2"/>
          </w:tcPr>
          <w:p>
            <w:pPr>
              <w:spacing w:before="0" w:after="0"/>
            </w:pPr>
            <w:r>
              <w:rPr>
                <w:sz w:val="17"/>
              </w:rPr>
              <w:t>The book's deepest claim.</w:t>
            </w:r>
          </w:p>
        </w:tc>
      </w:tr>
      <w:tr>
        <w:tc>
          <w:tcPr>
            <w:tcW w:type="dxa" w:w="5270"/>
            <w:gridSpan w:val="2"/>
          </w:tcPr>
          <w:p>
            <w:pPr>
              <w:spacing w:before="0" w:after="0"/>
            </w:pPr>
            <w:r>
              <w:rPr>
                <w:b/>
                <w:sz w:val="17"/>
              </w:rPr>
              <w:t>Mind it.</w:t>
            </w:r>
          </w:p>
        </w:tc>
        <w:tc>
          <w:tcPr>
            <w:tcW w:type="dxa" w:w="5270"/>
            <w:gridSpan w:val="2"/>
          </w:tcPr>
          <w:p>
            <w:pPr>
              <w:spacing w:before="0" w:after="0"/>
            </w:pPr>
            <w:r>
              <w:rPr>
                <w:sz w:val="17"/>
              </w:rPr>
              <w:t>The three-word close.</w:t>
            </w:r>
          </w:p>
        </w:tc>
      </w:tr>
    </w:tbl>
    <w:p>
      <w:pPr>
        <w:spacing w:before="40"/>
      </w:pPr>
      <w:r>
        <w:rPr>
          <w:i/>
          <w:color w:val="CC6600"/>
          <w:sz w:val="17"/>
        </w:rPr>
        <w:t>⚑ Several bold canonical lines act as section breaks here + 'A Note on What This Book Doesn't Claim' (relocated Author's Note).</w:t>
      </w:r>
    </w:p>
    <w:p>
      <w:r>
        <w:br w:type="page"/>
      </w:r>
    </w:p>
    <w:p>
      <w:r>
        <w:rPr>
          <w:b/>
          <w:color w:val="1F375B"/>
          <w:sz w:val="28"/>
        </w:rPr>
        <w:t>Threads — recurring themes across the book</w:t>
      </w:r>
    </w:p>
    <w:p>
      <w:r>
        <w:rPr>
          <w:i/>
          <w:sz w:val="18"/>
        </w:rPr>
        <w:t>Six themes recur. Each row shows where it fires. Thread 4 now spans Ch 4 explicitly, since 'Its Language' anchors the human-vocabulary argument that was previously scattered.</w:t>
      </w:r>
    </w:p>
    <w:p/>
    <w:tbl>
      <w:tblPr>
        <w:tblStyle w:val="TableGrid"/>
        <w:tblW w:type="auto" w:w="0"/>
        <w:tblLook w:firstColumn="1" w:firstRow="1" w:lastColumn="0" w:lastRow="0" w:noHBand="0" w:noVBand="1" w:val="04A0"/>
      </w:tblPr>
      <w:tblGrid>
        <w:gridCol w:w="659"/>
        <w:gridCol w:w="659"/>
        <w:gridCol w:w="659"/>
        <w:gridCol w:w="659"/>
        <w:gridCol w:w="659"/>
        <w:gridCol w:w="659"/>
        <w:gridCol w:w="659"/>
        <w:gridCol w:w="659"/>
        <w:gridCol w:w="659"/>
        <w:gridCol w:w="659"/>
        <w:gridCol w:w="659"/>
        <w:gridCol w:w="659"/>
        <w:gridCol w:w="659"/>
        <w:gridCol w:w="659"/>
        <w:gridCol w:w="659"/>
        <w:gridCol w:w="659"/>
      </w:tblGrid>
      <w:tr>
        <w:tc>
          <w:tcPr>
            <w:tcW w:type="dxa" w:w="659"/>
            <w:shd w:fill="1F375B"/>
          </w:tcPr>
          <w:p>
            <w:pPr>
              <w:spacing w:before="0" w:after="0"/>
              <w:jc w:val="center"/>
            </w:pPr>
            <w:r>
              <w:rPr>
                <w:b/>
                <w:color w:val="FFFFFF"/>
                <w:sz w:val="18"/>
              </w:rPr>
              <w:t>Theme</w:t>
            </w:r>
          </w:p>
        </w:tc>
        <w:tc>
          <w:tcPr>
            <w:tcW w:type="dxa" w:w="659"/>
            <w:shd w:fill="1F375B"/>
          </w:tcPr>
          <w:p>
            <w:pPr>
              <w:spacing w:before="0" w:after="0"/>
              <w:jc w:val="center"/>
            </w:pPr>
            <w:r>
              <w:rPr>
                <w:b/>
                <w:color w:val="FFFFFF"/>
                <w:sz w:val="18"/>
              </w:rPr>
              <w:t>1</w:t>
            </w:r>
          </w:p>
        </w:tc>
        <w:tc>
          <w:tcPr>
            <w:tcW w:type="dxa" w:w="659"/>
            <w:shd w:fill="1F375B"/>
          </w:tcPr>
          <w:p>
            <w:pPr>
              <w:spacing w:before="0" w:after="0"/>
              <w:jc w:val="center"/>
            </w:pPr>
            <w:r>
              <w:rPr>
                <w:b/>
                <w:color w:val="FFFFFF"/>
                <w:sz w:val="18"/>
              </w:rPr>
              <w:t>2</w:t>
            </w:r>
          </w:p>
        </w:tc>
        <w:tc>
          <w:tcPr>
            <w:tcW w:type="dxa" w:w="659"/>
            <w:shd w:fill="1F375B"/>
          </w:tcPr>
          <w:p>
            <w:pPr>
              <w:spacing w:before="0" w:after="0"/>
              <w:jc w:val="center"/>
            </w:pPr>
            <w:r>
              <w:rPr>
                <w:b/>
                <w:color w:val="FFFFFF"/>
                <w:sz w:val="18"/>
              </w:rPr>
              <w:t>3</w:t>
            </w:r>
          </w:p>
        </w:tc>
        <w:tc>
          <w:tcPr>
            <w:tcW w:type="dxa" w:w="659"/>
            <w:shd w:fill="1F375B"/>
          </w:tcPr>
          <w:p>
            <w:pPr>
              <w:spacing w:before="0" w:after="0"/>
              <w:jc w:val="center"/>
            </w:pPr>
            <w:r>
              <w:rPr>
                <w:b/>
                <w:color w:val="FFFFFF"/>
                <w:sz w:val="18"/>
              </w:rPr>
              <w:t>4</w:t>
            </w:r>
          </w:p>
        </w:tc>
        <w:tc>
          <w:tcPr>
            <w:tcW w:type="dxa" w:w="659"/>
            <w:shd w:fill="1F375B"/>
          </w:tcPr>
          <w:p>
            <w:pPr>
              <w:spacing w:before="0" w:after="0"/>
              <w:jc w:val="center"/>
            </w:pPr>
            <w:r>
              <w:rPr>
                <w:b/>
                <w:color w:val="FFFFFF"/>
                <w:sz w:val="18"/>
              </w:rPr>
              <w:t>5</w:t>
            </w:r>
          </w:p>
        </w:tc>
        <w:tc>
          <w:tcPr>
            <w:tcW w:type="dxa" w:w="659"/>
            <w:shd w:fill="1F375B"/>
          </w:tcPr>
          <w:p>
            <w:pPr>
              <w:spacing w:before="0" w:after="0"/>
              <w:jc w:val="center"/>
            </w:pPr>
            <w:r>
              <w:rPr>
                <w:b/>
                <w:color w:val="FFFFFF"/>
                <w:sz w:val="18"/>
              </w:rPr>
              <w:t>6</w:t>
            </w:r>
          </w:p>
        </w:tc>
        <w:tc>
          <w:tcPr>
            <w:tcW w:type="dxa" w:w="659"/>
            <w:shd w:fill="1F375B"/>
          </w:tcPr>
          <w:p>
            <w:pPr>
              <w:spacing w:before="0" w:after="0"/>
              <w:jc w:val="center"/>
            </w:pPr>
            <w:r>
              <w:rPr>
                <w:b/>
                <w:color w:val="FFFFFF"/>
                <w:sz w:val="18"/>
              </w:rPr>
              <w:t>7</w:t>
            </w:r>
          </w:p>
        </w:tc>
        <w:tc>
          <w:tcPr>
            <w:tcW w:type="dxa" w:w="659"/>
            <w:shd w:fill="1F375B"/>
          </w:tcPr>
          <w:p>
            <w:pPr>
              <w:spacing w:before="0" w:after="0"/>
              <w:jc w:val="center"/>
            </w:pPr>
            <w:r>
              <w:rPr>
                <w:b/>
                <w:color w:val="FFFFFF"/>
                <w:sz w:val="18"/>
              </w:rPr>
              <w:t>8</w:t>
            </w:r>
          </w:p>
        </w:tc>
        <w:tc>
          <w:tcPr>
            <w:tcW w:type="dxa" w:w="659"/>
            <w:shd w:fill="1F375B"/>
          </w:tcPr>
          <w:p>
            <w:pPr>
              <w:spacing w:before="0" w:after="0"/>
              <w:jc w:val="center"/>
            </w:pPr>
            <w:r>
              <w:rPr>
                <w:b/>
                <w:color w:val="FFFFFF"/>
                <w:sz w:val="18"/>
              </w:rPr>
              <w:t>9</w:t>
            </w:r>
          </w:p>
        </w:tc>
        <w:tc>
          <w:tcPr>
            <w:tcW w:type="dxa" w:w="659"/>
            <w:shd w:fill="1F375B"/>
          </w:tcPr>
          <w:p>
            <w:pPr>
              <w:spacing w:before="0" w:after="0"/>
              <w:jc w:val="center"/>
            </w:pPr>
            <w:r>
              <w:rPr>
                <w:b/>
                <w:color w:val="FFFFFF"/>
                <w:sz w:val="18"/>
              </w:rPr>
              <w:t>10</w:t>
            </w:r>
          </w:p>
        </w:tc>
        <w:tc>
          <w:tcPr>
            <w:tcW w:type="dxa" w:w="659"/>
            <w:shd w:fill="1F375B"/>
          </w:tcPr>
          <w:p>
            <w:pPr>
              <w:spacing w:before="0" w:after="0"/>
              <w:jc w:val="center"/>
            </w:pPr>
            <w:r>
              <w:rPr>
                <w:b/>
                <w:color w:val="FFFFFF"/>
                <w:sz w:val="18"/>
              </w:rPr>
              <w:t>11</w:t>
            </w:r>
          </w:p>
        </w:tc>
        <w:tc>
          <w:tcPr>
            <w:tcW w:type="dxa" w:w="659"/>
            <w:shd w:fill="1F375B"/>
          </w:tcPr>
          <w:p>
            <w:pPr>
              <w:spacing w:before="0" w:after="0"/>
              <w:jc w:val="center"/>
            </w:pPr>
            <w:r>
              <w:rPr>
                <w:b/>
                <w:color w:val="FFFFFF"/>
                <w:sz w:val="18"/>
              </w:rPr>
              <w:t>12</w:t>
            </w:r>
          </w:p>
        </w:tc>
        <w:tc>
          <w:tcPr>
            <w:tcW w:type="dxa" w:w="659"/>
            <w:shd w:fill="1F375B"/>
          </w:tcPr>
          <w:p>
            <w:pPr>
              <w:spacing w:before="0" w:after="0"/>
              <w:jc w:val="center"/>
            </w:pPr>
            <w:r>
              <w:rPr>
                <w:b/>
                <w:color w:val="FFFFFF"/>
                <w:sz w:val="18"/>
              </w:rPr>
              <w:t>13</w:t>
            </w:r>
          </w:p>
        </w:tc>
        <w:tc>
          <w:tcPr>
            <w:tcW w:type="dxa" w:w="659"/>
            <w:shd w:fill="1F375B"/>
          </w:tcPr>
          <w:p>
            <w:pPr>
              <w:spacing w:before="0" w:after="0"/>
              <w:jc w:val="center"/>
            </w:pPr>
            <w:r>
              <w:rPr>
                <w:b/>
                <w:color w:val="FFFFFF"/>
                <w:sz w:val="18"/>
              </w:rPr>
              <w:t>14</w:t>
            </w:r>
          </w:p>
        </w:tc>
        <w:tc>
          <w:tcPr>
            <w:tcW w:type="dxa" w:w="659"/>
            <w:shd w:fill="1F375B"/>
          </w:tcPr>
          <w:p>
            <w:pPr>
              <w:spacing w:before="0" w:after="0"/>
              <w:jc w:val="center"/>
            </w:pPr>
            <w:r>
              <w:rPr>
                <w:b/>
                <w:color w:val="FFFFFF"/>
                <w:sz w:val="18"/>
              </w:rPr>
              <w:t>15</w:t>
            </w:r>
          </w:p>
        </w:tc>
      </w:tr>
      <w:tr>
        <w:tc>
          <w:tcPr>
            <w:tcW w:type="dxa" w:w="659"/>
          </w:tcPr>
          <w:p>
            <w:pPr>
              <w:spacing w:before="0" w:after="0"/>
            </w:pPr>
            <w:r>
              <w:rPr>
                <w:b/>
                <w:sz w:val="17"/>
              </w:rPr>
              <w:t>Fluency triggers trust before analysis</w:t>
            </w:r>
          </w:p>
        </w:tc>
        <w:tc>
          <w:tcPr>
            <w:tcW w:type="dxa" w:w="659"/>
            <w:shd w:fill="F4CCCC"/>
          </w:tcPr>
          <w:p>
            <w:pPr>
              <w:spacing w:before="0" w:after="0"/>
              <w:jc w:val="center"/>
            </w:pPr>
            <w:r>
              <w:rPr>
                <w:b/>
                <w:sz w:val="20"/>
              </w:rPr>
              <w:t>●</w:t>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r>
      <w:tr>
        <w:tc>
          <w:tcPr>
            <w:tcW w:type="dxa" w:w="659"/>
          </w:tcPr>
          <w:p>
            <w:pPr>
              <w:spacing w:before="0" w:after="0"/>
            </w:pPr>
            <w:r>
              <w:rPr>
                <w:b/>
                <w:sz w:val="17"/>
              </w:rPr>
              <w:t>The gap requires plurality (human as federation)</w:t>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shd w:fill="F4CCCC"/>
          </w:tcPr>
          <w:p>
            <w:pPr>
              <w:spacing w:before="0" w:after="0"/>
              <w:jc w:val="center"/>
            </w:pPr>
            <w:r>
              <w:rPr>
                <w:b/>
                <w:sz w:val="20"/>
              </w:rPr>
              <w:t>●</w:t>
            </w:r>
          </w:p>
        </w:tc>
      </w:tr>
      <w:tr>
        <w:tc>
          <w:tcPr>
            <w:tcW w:type="dxa" w:w="659"/>
          </w:tcPr>
          <w:p>
            <w:pPr>
              <w:spacing w:before="0" w:after="0"/>
            </w:pPr>
            <w:r>
              <w:rPr>
                <w:b/>
                <w:sz w:val="17"/>
              </w:rPr>
              <w:t>The instrument is calibrated by what it has survived</w:t>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shd w:fill="F4CCCC"/>
          </w:tcPr>
          <w:p>
            <w:pPr>
              <w:spacing w:before="0" w:after="0"/>
              <w:jc w:val="center"/>
            </w:pPr>
            <w:r>
              <w:rPr>
                <w:b/>
                <w:sz w:val="20"/>
              </w:rPr>
              <w:t>●</w:t>
            </w:r>
          </w:p>
        </w:tc>
      </w:tr>
      <w:tr>
        <w:tc>
          <w:tcPr>
            <w:tcW w:type="dxa" w:w="659"/>
          </w:tcPr>
          <w:p>
            <w:pPr>
              <w:spacing w:before="0" w:after="0"/>
            </w:pPr>
            <w:r>
              <w:rPr>
                <w:b/>
                <w:sz w:val="17"/>
              </w:rPr>
              <w:t>Labs &amp; system reach for human language (Dreams, gender, 'reflect')</w:t>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r>
      <w:tr>
        <w:tc>
          <w:tcPr>
            <w:tcW w:type="dxa" w:w="659"/>
          </w:tcPr>
          <w:p>
            <w:pPr>
              <w:spacing w:before="0" w:after="0"/>
            </w:pPr>
            <w:r>
              <w:rPr>
                <w:b/>
                <w:sz w:val="17"/>
              </w:rPr>
              <w:t>Same Big Bang, different branches</w:t>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shd w:fill="F4CCCC"/>
          </w:tcPr>
          <w:p>
            <w:pPr>
              <w:spacing w:before="0" w:after="0"/>
              <w:jc w:val="center"/>
            </w:pPr>
            <w:r>
              <w:rPr>
                <w:b/>
                <w:sz w:val="20"/>
              </w:rPr>
              <w:t>●</w:t>
            </w:r>
          </w:p>
        </w:tc>
      </w:tr>
      <w:tr>
        <w:tc>
          <w:tcPr>
            <w:tcW w:type="dxa" w:w="659"/>
          </w:tcPr>
          <w:p>
            <w:pPr>
              <w:spacing w:before="0" w:after="0"/>
            </w:pPr>
            <w:r>
              <w:rPr>
                <w:b/>
                <w:sz w:val="17"/>
              </w:rPr>
              <w:t>Reinforcement shapes both — same class, different substrate</w:t>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shd w:fill="F4CCCC"/>
          </w:tcPr>
          <w:p>
            <w:pPr>
              <w:spacing w:before="0" w:after="0"/>
              <w:jc w:val="center"/>
            </w:pPr>
            <w:r>
              <w:rPr>
                <w:b/>
                <w:sz w:val="20"/>
              </w:rPr>
              <w:t>●</w:t>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c>
          <w:tcPr>
            <w:tcW w:type="dxa" w:w="659"/>
          </w:tcPr>
          <w:p>
            <w:pPr>
              <w:spacing w:before="0" w:after="0"/>
              <w:jc w:val="center"/>
            </w:pPr>
            <w:r>
              <w:rPr>
                <w:b/>
                <w:sz w:val="20"/>
              </w:rPr>
            </w:r>
          </w:p>
        </w:tc>
      </w:tr>
    </w:tbl>
    <w:p/>
    <w:p>
      <w:r>
        <w:rPr>
          <w:i/>
          <w:sz w:val="18"/>
        </w:rPr>
        <w:t>What changed since the V62 version: Ch 4 now carries a Behaviour dot (was absent) through 'Its Language'. Ch 6 is no longer a red-flag chapter — the rebuild cut it from eight subsections to five, merged the two therapy parallels, promoted the Dangerous Zone to its climax, and moved the 76m authority passage to Ch 9, where Room Three's authority weight rises accordingly. The spine now reads cleaner end to end; no chapter is currently flagged for structural rework.</w:t>
      </w:r>
    </w:p>
    <w:sectPr w:rsidR="00FC693F" w:rsidRPr="0006063C" w:rsidSect="00034616">
      <w:pgSz w:w="12240" w:h="15840"/>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