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0"/>
          <w:szCs w:val="20"/>
        </w:rPr>
        <w:t xml:space="preserve">REFLECTIVE INTERLUDE ARTEFACT</w:t>
      </w:r>
    </w:p>
    <w:p>
      <w:pPr>
        <w:spacing w:after="80" w:before="0"/>
      </w:pPr>
      <w:r>
        <w:rPr>
          <w:rFonts w:ascii="Georgia" w:cs="Georgia" w:eastAsia="Georgia" w:hAnsi="Georgia"/>
          <w:b/>
          <w:bCs/>
          <w:color w:val="1A1A1A"/>
          <w:sz w:val="24"/>
          <w:szCs w:val="24"/>
        </w:rPr>
        <w:t xml:space="preserve">Mind the Gap — Working Manuscript</w:t>
      </w:r>
    </w:p>
    <w:p>
      <w:pPr>
        <w:spacing w:after="480" w:before="0"/>
      </w:pPr>
      <w:r>
        <w:rPr>
          <w:rFonts w:ascii="Georgia" w:cs="Georgia" w:eastAsia="Georgia" w:hAnsi="Georgia"/>
          <w:i/>
          <w:iCs/>
          <w:color w:val="888888"/>
          <w:sz w:val="20"/>
          <w:szCs w:val="20"/>
        </w:rPr>
        <w:t xml:space="preserve">Logged between Chapters 9 and 10 — May 2026</w:t>
      </w:r>
    </w:p>
    <w:p>
      <w:pPr>
        <w:pBdr>
          <w:bottom w:val="single" w:color="C8A84B" w:sz="4" w:space="1"/>
        </w:pBdr>
        <w:spacing w:after="360" w:before="240"/>
      </w:pPr>
    </w:p>
    <w:p>
      <w:pPr>
        <w:spacing w:after="160" w:before="480"/>
      </w:pPr>
      <w:r>
        <w:rPr>
          <w:rFonts w:ascii="Georgia" w:cs="Georgia" w:eastAsia="Georgia" w:hAnsi="Georgia"/>
          <w:b/>
          <w:bCs/>
          <w:color w:val="C8A84B"/>
          <w:sz w:val="26"/>
          <w:szCs w:val="26"/>
        </w:rPr>
        <w:t xml:space="preserve">What This Is</w:t>
      </w:r>
    </w:p>
    <w:p>
      <w:pPr>
        <w:spacing w:after="220" w:before="0"/>
      </w:pPr>
      <w:r>
        <w:rPr>
          <w:rFonts w:ascii="Georgia" w:cs="Georgia" w:eastAsia="Georgia" w:hAnsi="Georgia"/>
          <w:color w:val="1A1A1A"/>
          <w:sz w:val="24"/>
          <w:szCs w:val="24"/>
        </w:rPr>
        <w:t xml:space="preserve">This artefact logs a natural pause in the writing of Mind the Gap — a moment when the author stepped back from the chapter sequence to surface adjacent territory, to ask questions about the book's scope, and to reflect on what the process of writing it has itself demonstrated.</w:t>
      </w:r>
    </w:p>
    <w:p>
      <w:pPr>
        <w:spacing w:after="220" w:before="0"/>
      </w:pPr>
      <w:r>
        <w:rPr>
          <w:rFonts w:ascii="Georgia" w:cs="Georgia" w:eastAsia="Georgia" w:hAnsi="Georgia"/>
          <w:color w:val="1A1A1A"/>
          <w:sz w:val="24"/>
          <w:szCs w:val="24"/>
        </w:rPr>
        <w:t xml:space="preserve">Is this metacognition? Reflective AI practice? Both. The author is using an Additional Intelligence to write a book about using AI with intelligence. The process is demonstrating the argument. That is not accidental. It is the Bowlby ethic at work: this is quite an interesting story we have to tell, and the telling of it is part of the story.</w:t>
      </w:r>
    </w:p>
    <w:p>
      <w:pPr>
        <w:pBdr>
          <w:left w:val="single" w:color="C8A84B" w:sz="12" w:space="20"/>
        </w:pBdr>
        <w:spacing w:after="360" w:before="360"/>
        <w:ind w:left="480"/>
      </w:pPr>
      <w:r>
        <w:rPr>
          <w:rFonts w:ascii="Georgia" w:cs="Georgia" w:eastAsia="Georgia" w:hAnsi="Georgia"/>
          <w:b/>
          <w:bCs/>
          <w:color w:val="1A1A1A"/>
          <w:sz w:val="26"/>
          <w:szCs w:val="26"/>
        </w:rPr>
        <w:t xml:space="preserve">The author's context window is finite too. This interlude is the human equivalent of re-anchoring — returning to what matters before the final push.</w:t>
      </w:r>
    </w:p>
    <w:p>
      <w:pPr>
        <w:spacing w:after="160" w:before="480"/>
      </w:pPr>
      <w:r>
        <w:rPr>
          <w:rFonts w:ascii="Georgia" w:cs="Georgia" w:eastAsia="Georgia" w:hAnsi="Georgia"/>
          <w:b/>
          <w:bCs/>
          <w:color w:val="C8A84B"/>
          <w:sz w:val="26"/>
          <w:szCs w:val="26"/>
        </w:rPr>
        <w:t xml:space="preserve">Dark Matter — What It Is and What It Isn't</w:t>
      </w:r>
    </w:p>
    <w:p>
      <w:pPr>
        <w:spacing w:after="220" w:before="0"/>
      </w:pPr>
      <w:r>
        <w:rPr>
          <w:rFonts w:ascii="Georgia" w:cs="Georgia" w:eastAsia="Georgia" w:hAnsi="Georgia"/>
          <w:color w:val="1A1A1A"/>
          <w:sz w:val="24"/>
          <w:szCs w:val="24"/>
        </w:rPr>
        <w:t xml:space="preserve">The dark matter post (paulroebuck.co.uk/blog/darkmatter, January 2023) is a hypothesis about theoretical physics: that dark matter is the foundational substrate from which all observable matter emerges through the act of observation. Conceived by Paul Roebuck, written by ChatGPT4, images by DALL-E3. It is an early experiment in Additional Intelligence — the same working method that produced this book, applied two years earlier to a completely different domain.</w:t>
      </w:r>
    </w:p>
    <w:p>
      <w:pPr>
        <w:spacing w:after="220" w:before="0"/>
      </w:pPr>
      <w:r>
        <w:rPr>
          <w:rFonts w:ascii="Georgia" w:cs="Georgia" w:eastAsia="Georgia" w:hAnsi="Georgia"/>
          <w:color w:val="1A1A1A"/>
          <w:sz w:val="24"/>
          <w:szCs w:val="24"/>
        </w:rPr>
        <w:t xml:space="preserve">Its relevance to Mind the Gap is structural, not literal. Dark matter cannot be observed directly. It is inferred from the gap it leaves in what we can see. Its presence is known through its effects on visible matter, not through any direct encounter with it.</w:t>
      </w:r>
    </w:p>
    <w:p>
      <w:pPr>
        <w:spacing w:after="220" w:before="0"/>
      </w:pPr>
      <w:r>
        <w:rPr>
          <w:rFonts w:ascii="Georgia" w:cs="Georgia" w:eastAsia="Georgia" w:hAnsi="Georgia"/>
          <w:color w:val="1A1A1A"/>
          <w:sz w:val="24"/>
          <w:szCs w:val="24"/>
        </w:rPr>
        <w:t xml:space="preserve">That is a precise analogy for the gap this book describes. The thing underneath the AI conversation — the hidden architecture, the context window, the system prompt, the compression — cannot be seen directly by the user. It is inferred from the gap it leaves in what the responses produce. Known through its effects. Not directly observable.</w:t>
      </w:r>
    </w:p>
    <w:p>
      <w:pPr>
        <w:spacing w:after="220" w:before="0"/>
      </w:pPr>
      <w:r>
        <w:rPr>
          <w:rFonts w:ascii="Georgia" w:cs="Georgia" w:eastAsia="Georgia" w:hAnsi="Georgia"/>
          <w:color w:val="1A1A1A"/>
          <w:sz w:val="24"/>
          <w:szCs w:val="24"/>
        </w:rPr>
        <w:t xml:space="preserve">Dark matter is the physics of the gap. The book is the behavioural psychology of the gap. The structural parallel is real and worth naming in Chapter 11 or the closing chapter — briefly, without overreaching.</w:t>
      </w:r>
    </w:p>
    <w:p>
      <w:pPr>
        <w:spacing w:after="160" w:before="480"/>
      </w:pPr>
      <w:r>
        <w:rPr>
          <w:rFonts w:ascii="Georgia" w:cs="Georgia" w:eastAsia="Georgia" w:hAnsi="Georgia"/>
          <w:b/>
          <w:bCs/>
          <w:color w:val="C8A84B"/>
          <w:sz w:val="26"/>
          <w:szCs w:val="26"/>
        </w:rPr>
        <w:t xml:space="preserve">In-TEO — What It Is</w:t>
      </w:r>
    </w:p>
    <w:p>
      <w:pPr>
        <w:spacing w:after="220" w:before="0"/>
      </w:pPr>
      <w:r>
        <w:rPr>
          <w:rFonts w:ascii="Georgia" w:cs="Georgia" w:eastAsia="Georgia" w:hAnsi="Georgia"/>
          <w:color w:val="1A1A1A"/>
          <w:sz w:val="24"/>
          <w:szCs w:val="24"/>
        </w:rPr>
        <w:t xml:space="preserve">In-TEO is a software platform Paul Roebuck has built to help people prepare for the loss they cannot avoid — end of life, both their own and others'. It sits at the intersection of the grief work, the clinical practice, and the commercial operator. It is currently at v46 prototype, awaiting investor engagement.</w:t>
      </w:r>
    </w:p>
    <w:p>
      <w:pPr>
        <w:spacing w:after="220" w:before="0"/>
      </w:pPr>
      <w:r>
        <w:rPr>
          <w:rFonts w:ascii="Georgia" w:cs="Georgia" w:eastAsia="Georgia" w:hAnsi="Georgia"/>
          <w:color w:val="1A1A1A"/>
          <w:sz w:val="24"/>
          <w:szCs w:val="24"/>
        </w:rPr>
        <w:t xml:space="preserve">It is the founder posture from Floor 6 of the Layers map — the longest time-scale, the most scrutinised, the most ambitious expression of the architecture. The therapist who has spent thirty years finding blocks, the grief researcher who has produced the 12-Stage Cycle, the commercial operator who has built and led teams — all of it pointing toward a product designed to operate after the practitioner, at scale, for the loss that comes for everyone.</w:t>
      </w:r>
    </w:p>
    <w:p>
      <w:pPr>
        <w:spacing w:after="220" w:before="0"/>
      </w:pPr>
      <w:r>
        <w:rPr>
          <w:rFonts w:ascii="Georgia" w:cs="Georgia" w:eastAsia="Georgia" w:hAnsi="Georgia"/>
          <w:color w:val="1A1A1A"/>
          <w:sz w:val="24"/>
          <w:szCs w:val="24"/>
        </w:rPr>
        <w:t xml:space="preserve">In-TEO does not belong in this book in detail. It belongs in the acknowledgement that the author's work on AI literacy is inseparable from his work on what AI cannot do at the depth layer — which is precisely what In-TEO addresses. A brief mention in Chapter 12 is appropriate. The full work is its own book, its own IP, its own story.</w:t>
      </w:r>
    </w:p>
    <w:p>
      <w:pPr>
        <w:spacing w:after="160" w:before="480"/>
      </w:pPr>
      <w:r>
        <w:rPr>
          <w:rFonts w:ascii="Georgia" w:cs="Georgia" w:eastAsia="Georgia" w:hAnsi="Georgia"/>
          <w:b/>
          <w:bCs/>
          <w:color w:val="C8A84B"/>
          <w:sz w:val="26"/>
          <w:szCs w:val="26"/>
        </w:rPr>
        <w:t xml:space="preserve">Grief — The Ultimate Gap</w:t>
      </w:r>
    </w:p>
    <w:p>
      <w:pPr>
        <w:spacing w:after="220" w:before="0"/>
      </w:pPr>
      <w:r>
        <w:rPr>
          <w:rFonts w:ascii="Georgia" w:cs="Georgia" w:eastAsia="Georgia" w:hAnsi="Georgia"/>
          <w:color w:val="1A1A1A"/>
          <w:sz w:val="24"/>
          <w:szCs w:val="24"/>
        </w:rPr>
        <w:t xml:space="preserve">Grief is the gap made ultimate. The space left by a person who was there and is no longer there. The absence that the brain keeps trying to fill — reaching for the phone to call them, starting to say their name, turning to share something with someone who is gone.</w:t>
      </w:r>
    </w:p>
    <w:p>
      <w:pPr>
        <w:spacing w:after="220" w:before="0"/>
      </w:pPr>
      <w:r>
        <w:rPr>
          <w:rFonts w:ascii="Georgia" w:cs="Georgia" w:eastAsia="Georgia" w:hAnsi="Georgia"/>
          <w:color w:val="1A1A1A"/>
          <w:sz w:val="24"/>
          <w:szCs w:val="24"/>
        </w:rPr>
        <w:t xml:space="preserve">The author lost his father at three. That is not background. That is Floor 2 of the Layers map — the wound the practice was forged around. The not-good-enough substrate. The originating block.</w:t>
      </w:r>
    </w:p>
    <w:p>
      <w:pPr>
        <w:spacing w:after="220" w:before="0"/>
      </w:pPr>
      <w:r>
        <w:rPr>
          <w:rFonts w:ascii="Georgia" w:cs="Georgia" w:eastAsia="Georgia" w:hAnsi="Georgia"/>
          <w:color w:val="1A1A1A"/>
          <w:sz w:val="24"/>
          <w:szCs w:val="24"/>
        </w:rPr>
        <w:t xml:space="preserve">Grief belongs in Chapter 12. Not as therapy, not as memoir, but as the clearest human example of the gap this book has been describing. The gap between what we reach for and what is there. Between what we expect to find and what the system — the world, the conversation, the relationship — actually contains.</w:t>
      </w:r>
    </w:p>
    <w:p>
      <w:pPr>
        <w:spacing w:after="220" w:before="0"/>
      </w:pPr>
      <w:r>
        <w:rPr>
          <w:rFonts w:ascii="Georgia" w:cs="Georgia" w:eastAsia="Georgia" w:hAnsi="Georgia"/>
          <w:color w:val="1A1A1A"/>
          <w:sz w:val="24"/>
          <w:szCs w:val="24"/>
        </w:rPr>
        <w:t xml:space="preserve">The 12-Stage Cycle of Grief, published May 2025, is Paul Roebuck's originated research-ready contribution to grief theory, positioned against Kübler-Ross, Worden, and the Dual Process Model. It is the most developed of his three clinical methods. It is offered openly for empirical test.</w:t>
      </w:r>
    </w:p>
    <w:p>
      <w:pPr>
        <w:spacing w:after="220" w:before="0"/>
      </w:pPr>
      <w:r>
        <w:rPr>
          <w:rFonts w:ascii="Georgia" w:cs="Georgia" w:eastAsia="Georgia" w:hAnsi="Georgia"/>
          <w:color w:val="1A1A1A"/>
          <w:sz w:val="24"/>
          <w:szCs w:val="24"/>
        </w:rPr>
        <w:t xml:space="preserve">One sentence in Chapter 12 connects grief to the gap. No more. The book is about AI behaviour. But the author's authority to write it comes, in part, from having lived the most extreme version of the gap that exists.</w:t>
      </w:r>
    </w:p>
    <w:p>
      <w:pPr>
        <w:spacing w:after="160" w:before="480"/>
      </w:pPr>
      <w:r>
        <w:rPr>
          <w:rFonts w:ascii="Georgia" w:cs="Georgia" w:eastAsia="Georgia" w:hAnsi="Georgia"/>
          <w:b/>
          <w:bCs/>
          <w:color w:val="C8A84B"/>
          <w:sz w:val="26"/>
          <w:szCs w:val="26"/>
        </w:rPr>
        <w:t xml:space="preserve">The Behaviours That Block the Gap</w:t>
      </w:r>
    </w:p>
    <w:p>
      <w:pPr>
        <w:spacing w:after="220" w:before="0"/>
      </w:pPr>
      <w:r>
        <w:rPr>
          <w:rFonts w:ascii="Georgia" w:cs="Georgia" w:eastAsia="Georgia" w:hAnsi="Georgia"/>
          <w:color w:val="1A1A1A"/>
          <w:sz w:val="24"/>
          <w:szCs w:val="24"/>
        </w:rPr>
        <w:t xml:space="preserve">The author flagged something important in this interlude: the habits, the addictions, the behaviours humans develop to avoid living in the gap. The defences against uncertainty. The compulsive patterns that keep the unnameable dread at bay.</w:t>
      </w:r>
    </w:p>
    <w:p>
      <w:pPr>
        <w:spacing w:after="220" w:before="0"/>
      </w:pPr>
      <w:r>
        <w:rPr>
          <w:rFonts w:ascii="Georgia" w:cs="Georgia" w:eastAsia="Georgia" w:hAnsi="Georgia"/>
          <w:color w:val="1A1A1A"/>
          <w:sz w:val="24"/>
          <w:szCs w:val="24"/>
        </w:rPr>
        <w:t xml:space="preserve">This is Firman's territory. This is Floor 1 and Floor 2 of the Layers map. The amygdala-held fear that fires the autopilot before consciousness arrives. The not-good-enough wound that produces the Fixer, the Entertainer, the whole choreography of avoidance.</w:t>
      </w:r>
    </w:p>
    <w:p>
      <w:pPr>
        <w:spacing w:after="220" w:before="0"/>
      </w:pPr>
      <w:r>
        <w:rPr>
          <w:rFonts w:ascii="Georgia" w:cs="Georgia" w:eastAsia="Georgia" w:hAnsi="Georgia"/>
          <w:color w:val="1A1A1A"/>
          <w:sz w:val="24"/>
          <w:szCs w:val="24"/>
        </w:rPr>
        <w:t xml:space="preserve">This territory is referenced in Chapter 9 and will be developed in Chapter 12. It is not the same as AI behaviour — the author is right to distinguish them. The human blocks to living in the gap are psychological, relational, biological, neurological, emotional. They have roots. They have history. They have a function.</w:t>
      </w:r>
    </w:p>
    <w:p>
      <w:pPr>
        <w:spacing w:after="220" w:before="0"/>
      </w:pPr>
      <w:r>
        <w:rPr>
          <w:rFonts w:ascii="Georgia" w:cs="Georgia" w:eastAsia="Georgia" w:hAnsi="Georgia"/>
          <w:color w:val="1A1A1A"/>
          <w:sz w:val="24"/>
          <w:szCs w:val="24"/>
        </w:rPr>
        <w:t xml:space="preserve">The AI gap is architectural. The system cannot tell you it is operating in the gap. The human gap is defended. The person knows, at some level, that the gap is there — and has built a life to avoid it.</w:t>
      </w:r>
    </w:p>
    <w:p>
      <w:pPr>
        <w:spacing w:after="220" w:before="0"/>
      </w:pPr>
      <w:r>
        <w:rPr>
          <w:rFonts w:ascii="Georgia" w:cs="Georgia" w:eastAsia="Georgia" w:hAnsi="Georgia"/>
          <w:color w:val="1A1A1A"/>
          <w:sz w:val="24"/>
          <w:szCs w:val="24"/>
        </w:rPr>
        <w:t xml:space="preserve">That distinction is precise and important. It belongs in Chapter 12 as a clear, brief statement.</w:t>
      </w:r>
    </w:p>
    <w:p>
      <w:pPr>
        <w:spacing w:after="160" w:before="480"/>
      </w:pPr>
      <w:r>
        <w:rPr>
          <w:rFonts w:ascii="Georgia" w:cs="Georgia" w:eastAsia="Georgia" w:hAnsi="Georgia"/>
          <w:b/>
          <w:bCs/>
          <w:color w:val="C8A84B"/>
          <w:sz w:val="26"/>
          <w:szCs w:val="26"/>
        </w:rPr>
        <w:t xml:space="preserve">The Metacognition Question</w:t>
      </w:r>
    </w:p>
    <w:p>
      <w:pPr>
        <w:spacing w:after="220" w:before="0"/>
      </w:pPr>
      <w:r>
        <w:rPr>
          <w:rFonts w:ascii="Georgia" w:cs="Georgia" w:eastAsia="Georgia" w:hAnsi="Georgia"/>
          <w:color w:val="1A1A1A"/>
          <w:sz w:val="24"/>
          <w:szCs w:val="24"/>
        </w:rPr>
        <w:t xml:space="preserve">Is this reflective AI practice? Is it metacognition? Yes to both, and the author doesn't need to choose.</w:t>
      </w:r>
    </w:p>
    <w:p>
      <w:pPr>
        <w:spacing w:after="220" w:before="0"/>
      </w:pPr>
      <w:r>
        <w:rPr>
          <w:rFonts w:ascii="Georgia" w:cs="Georgia" w:eastAsia="Georgia" w:hAnsi="Georgia"/>
          <w:color w:val="1A1A1A"/>
          <w:sz w:val="24"/>
          <w:szCs w:val="24"/>
        </w:rPr>
        <w:t xml:space="preserve">Metacognition is thinking about thinking. This book is thinking about how humans think when they encounter AI. The reflective interlude is the author thinking about how he is thinking while writing a book about thinking. The recursion is real.</w:t>
      </w:r>
    </w:p>
    <w:p>
      <w:pPr>
        <w:spacing w:after="220" w:before="0"/>
      </w:pPr>
      <w:r>
        <w:rPr>
          <w:rFonts w:ascii="Georgia" w:cs="Georgia" w:eastAsia="Georgia" w:hAnsi="Georgia"/>
          <w:color w:val="1A1A1A"/>
          <w:sz w:val="24"/>
          <w:szCs w:val="24"/>
        </w:rPr>
        <w:t xml:space="preserve">Reflective AI practice is the use of AI systems as a mirror for one's own thinking — using the conversation to surface what you know, clarify what you mean, test what you believe. That is what has been happening throughout this manuscript. The Additional Intelligence has not been leading. It has been reflecting, structuring, and holding the thread while the author directed, corrected, and brought the lived material that only he holds.</w:t>
      </w:r>
    </w:p>
    <w:p>
      <w:pPr>
        <w:spacing w:after="220" w:before="0"/>
      </w:pPr>
      <w:r>
        <w:rPr>
          <w:rFonts w:ascii="Georgia" w:cs="Georgia" w:eastAsia="Georgia" w:hAnsi="Georgia"/>
          <w:color w:val="1A1A1A"/>
          <w:sz w:val="24"/>
          <w:szCs w:val="24"/>
        </w:rPr>
        <w:t xml:space="preserve">This interlude is itself an artefact of that practice. The author paused. Reflected. Surfaced adjacent territory. Asked whether the landing path was right. Confirmed the scope. Decided what belongs and what doesn't.</w:t>
      </w:r>
    </w:p>
    <w:p>
      <w:pPr>
        <w:spacing w:after="220" w:before="0"/>
      </w:pPr>
      <w:r>
        <w:rPr>
          <w:rFonts w:ascii="Georgia" w:cs="Georgia" w:eastAsia="Georgia" w:hAnsi="Georgia"/>
          <w:color w:val="1A1A1A"/>
          <w:sz w:val="24"/>
          <w:szCs w:val="24"/>
        </w:rPr>
        <w:t xml:space="preserve">That is the Reflector mode from Chapter 9. In action. In the middle of the book.</w:t>
      </w:r>
    </w:p>
    <w:p>
      <w:pPr>
        <w:pBdr>
          <w:left w:val="single" w:color="C8A84B" w:sz="12" w:space="20"/>
        </w:pBdr>
        <w:spacing w:after="360" w:before="360"/>
        <w:ind w:left="480"/>
      </w:pPr>
      <w:r>
        <w:rPr>
          <w:rFonts w:ascii="Georgia" w:cs="Georgia" w:eastAsia="Georgia" w:hAnsi="Georgia"/>
          <w:b/>
          <w:bCs/>
          <w:color w:val="1A1A1A"/>
          <w:sz w:val="26"/>
          <w:szCs w:val="26"/>
        </w:rPr>
        <w:t xml:space="preserve">The book is demonstrating its own argument. The author is using Additional Intelligence to write about Additional Intelligence. The process is the proof. That is not a coincidence. It is the work working.</w:t>
      </w:r>
    </w:p>
    <w:p>
      <w:pPr>
        <w:spacing w:after="160" w:before="480"/>
      </w:pPr>
      <w:r>
        <w:rPr>
          <w:rFonts w:ascii="Georgia" w:cs="Georgia" w:eastAsia="Georgia" w:hAnsi="Georgia"/>
          <w:b/>
          <w:bCs/>
          <w:color w:val="C8A84B"/>
          <w:sz w:val="26"/>
          <w:szCs w:val="26"/>
        </w:rPr>
        <w:t xml:space="preserve">What This Means for the Remaining Chapters</w:t>
      </w:r>
    </w:p>
    <w:p>
      <w:pPr>
        <w:spacing w:after="220" w:before="0"/>
      </w:pPr>
      <w:r>
        <w:rPr>
          <w:rFonts w:ascii="Georgia" w:cs="Georgia" w:eastAsia="Georgia" w:hAnsi="Georgia"/>
          <w:color w:val="1A1A1A"/>
          <w:sz w:val="24"/>
          <w:szCs w:val="24"/>
        </w:rPr>
        <w:t xml:space="preserve">Chapter 10 — The Dialect. Practical. Grounded. How to talk to AI systems. The Fuse post in full operational form.</w:t>
      </w:r>
    </w:p>
    <w:p>
      <w:pPr>
        <w:spacing w:after="220" w:before="0"/>
      </w:pPr>
      <w:r>
        <w:rPr>
          <w:rFonts w:ascii="Georgia" w:cs="Georgia" w:eastAsia="Georgia" w:hAnsi="Georgia"/>
          <w:color w:val="1A1A1A"/>
          <w:sz w:val="24"/>
          <w:szCs w:val="24"/>
        </w:rPr>
        <w:t xml:space="preserve">Chapter 11 — WaaS. The commercial consequence. The dark matter structural parallel introduced briefly. In-TEO referenced in one sentence.</w:t>
      </w:r>
    </w:p>
    <w:p>
      <w:pPr>
        <w:spacing w:after="220" w:before="0"/>
      </w:pPr>
      <w:r>
        <w:rPr>
          <w:rFonts w:ascii="Georgia" w:cs="Georgia" w:eastAsia="Georgia" w:hAnsi="Georgia"/>
          <w:color w:val="1A1A1A"/>
          <w:sz w:val="24"/>
          <w:szCs w:val="24"/>
        </w:rPr>
        <w:t xml:space="preserve">Chapter 12 — Mind the Gap. The closing chapter. Grief in one sentence. The behaviour blocks named. The behaviour layer argument from the protected artefact. The cancer passage. Additional Intelligence claimed. The Bowlby closing note. The book lands.</w:t>
      </w:r>
    </w:p>
    <w:p>
      <w:pPr>
        <w:spacing w:after="220" w:before="0"/>
      </w:pPr>
      <w:r>
        <w:rPr>
          <w:rFonts w:ascii="Georgia" w:cs="Georgia" w:eastAsia="Georgia" w:hAnsi="Georgia"/>
          <w:color w:val="1A1A1A"/>
          <w:sz w:val="24"/>
          <w:szCs w:val="24"/>
        </w:rPr>
        <w:t xml:space="preserve">The final push. Three chapters. The author's context window is finite and he knows it. That is the most honest thing in this interlude. And honesty has been the register of this book throughout.</w:t>
      </w:r>
    </w:p>
    <w:p>
      <w:pPr>
        <w:spacing w:after="240" w:before="360"/>
      </w:pPr>
    </w:p>
    <w:p>
      <w:pPr>
        <w:pBdr>
          <w:bottom w:val="single" w:color="C8A84B" w:sz="4" w:space="1"/>
        </w:pBdr>
        <w:spacing w:after="360" w:before="240"/>
      </w:pPr>
    </w:p>
    <w:p>
      <w:pPr>
        <w:spacing w:after="80" w:before="240"/>
      </w:pPr>
      <w:r>
        <w:rPr>
          <w:rFonts w:ascii="Georgia" w:cs="Georgia" w:eastAsia="Georgia" w:hAnsi="Georgia"/>
          <w:color w:val="888888"/>
          <w:sz w:val="20"/>
          <w:szCs w:val="20"/>
        </w:rPr>
        <w:t xml:space="preserve">Ideas and direction: Paul Roebuck</w:t>
      </w:r>
    </w:p>
    <w:p>
      <w:pPr>
        <w:spacing w:after="0" w:before="0"/>
      </w:pPr>
      <w:r>
        <w:rPr>
          <w:rFonts w:ascii="Georgia" w:cs="Georgia" w:eastAsia="Georgia" w:hAnsi="Georgia"/>
          <w:color w:val="888888"/>
          <w:sz w:val="20"/>
          <w:szCs w:val="20"/>
        </w:rPr>
        <w:t xml:space="preserve">Words: Claude AI (Anthropic) — claude-sonnet-4-6  |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2026-05-10T21:56:10.960Z</dcterms:created>
  <dcterms:modified xsi:type="dcterms:W3CDTF">2026-05-10T21:56:10.978Z</dcterms:modified>
</cp:coreProperties>
</file>

<file path=docProps/custom.xml><?xml version="1.0" encoding="utf-8"?>
<Properties xmlns="http://schemas.openxmlformats.org/officeDocument/2006/custom-properties" xmlns:vt="http://schemas.openxmlformats.org/officeDocument/2006/docPropsVTypes"/>
</file>